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1147"/>
        <w:gridCol w:w="266"/>
        <w:gridCol w:w="2050"/>
        <w:gridCol w:w="1511"/>
        <w:gridCol w:w="4474"/>
        <w:gridCol w:w="1432"/>
      </w:tblGrid>
      <w:tr w:rsidR="009E7F44" w:rsidRPr="009E7F44" w:rsidTr="009E7F44">
        <w:trPr>
          <w:trHeight w:val="255"/>
        </w:trPr>
        <w:tc>
          <w:tcPr>
            <w:tcW w:w="1413" w:type="dxa"/>
            <w:gridSpan w:val="2"/>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Level</w:t>
            </w:r>
          </w:p>
        </w:tc>
        <w:tc>
          <w:tcPr>
            <w:tcW w:w="2050"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b/>
                <w:bCs/>
                <w:color w:val="000000"/>
                <w:sz w:val="20"/>
                <w:szCs w:val="20"/>
                <w:lang w:eastAsia="id-ID"/>
              </w:rPr>
            </w:pPr>
          </w:p>
        </w:tc>
        <w:tc>
          <w:tcPr>
            <w:tcW w:w="5985" w:type="dxa"/>
            <w:gridSpan w:val="2"/>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 xml:space="preserve">: Kabupaten Aceh Tenggara </w:t>
            </w:r>
          </w:p>
        </w:tc>
        <w:tc>
          <w:tcPr>
            <w:tcW w:w="1432" w:type="dxa"/>
            <w:tcBorders>
              <w:top w:val="nil"/>
              <w:left w:val="nil"/>
              <w:bottom w:val="nil"/>
              <w:right w:val="nil"/>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p>
        </w:tc>
      </w:tr>
      <w:tr w:rsidR="009E7F44" w:rsidRPr="009E7F44" w:rsidTr="009E7F44">
        <w:trPr>
          <w:trHeight w:val="255"/>
        </w:trPr>
        <w:tc>
          <w:tcPr>
            <w:tcW w:w="1413" w:type="dxa"/>
            <w:gridSpan w:val="2"/>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Komponen</w:t>
            </w:r>
          </w:p>
        </w:tc>
        <w:tc>
          <w:tcPr>
            <w:tcW w:w="2050"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b/>
                <w:bCs/>
                <w:color w:val="000000"/>
                <w:sz w:val="20"/>
                <w:szCs w:val="20"/>
                <w:lang w:eastAsia="id-ID"/>
              </w:rPr>
            </w:pPr>
          </w:p>
        </w:tc>
        <w:tc>
          <w:tcPr>
            <w:tcW w:w="5985" w:type="dxa"/>
            <w:gridSpan w:val="2"/>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 A. Hukum dan Kebijakan</w:t>
            </w:r>
          </w:p>
        </w:tc>
        <w:tc>
          <w:tcPr>
            <w:tcW w:w="1432" w:type="dxa"/>
            <w:tcBorders>
              <w:top w:val="nil"/>
              <w:left w:val="nil"/>
              <w:bottom w:val="nil"/>
              <w:right w:val="nil"/>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p>
        </w:tc>
      </w:tr>
      <w:tr w:rsidR="009E7F44" w:rsidRPr="009E7F44" w:rsidTr="009E7F44">
        <w:trPr>
          <w:trHeight w:val="255"/>
        </w:trPr>
        <w:tc>
          <w:tcPr>
            <w:tcW w:w="1413" w:type="dxa"/>
            <w:gridSpan w:val="2"/>
            <w:tcBorders>
              <w:top w:val="nil"/>
              <w:left w:val="nil"/>
              <w:bottom w:val="nil"/>
              <w:right w:val="nil"/>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2050" w:type="dxa"/>
            <w:tcBorders>
              <w:top w:val="nil"/>
              <w:left w:val="nil"/>
              <w:bottom w:val="nil"/>
              <w:right w:val="nil"/>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1511" w:type="dxa"/>
            <w:tcBorders>
              <w:top w:val="nil"/>
              <w:left w:val="nil"/>
              <w:bottom w:val="nil"/>
              <w:right w:val="nil"/>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4474" w:type="dxa"/>
            <w:tcBorders>
              <w:top w:val="nil"/>
              <w:left w:val="nil"/>
              <w:bottom w:val="nil"/>
              <w:right w:val="nil"/>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1432" w:type="dxa"/>
            <w:tcBorders>
              <w:top w:val="nil"/>
              <w:left w:val="nil"/>
              <w:bottom w:val="nil"/>
              <w:right w:val="nil"/>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p>
        </w:tc>
      </w:tr>
      <w:tr w:rsidR="009E7F44" w:rsidRPr="009E7F44" w:rsidTr="009E7F44">
        <w:trPr>
          <w:trHeight w:val="255"/>
        </w:trPr>
        <w:tc>
          <w:tcPr>
            <w:tcW w:w="3463" w:type="dxa"/>
            <w:gridSpan w:val="3"/>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Isu dalam PGA REDD+</w:t>
            </w:r>
          </w:p>
        </w:tc>
        <w:tc>
          <w:tcPr>
            <w:tcW w:w="5985" w:type="dxa"/>
            <w:gridSpan w:val="2"/>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 xml:space="preserve">:  I. Perencanaan Kehutanan dan Tata Ruang </w:t>
            </w:r>
          </w:p>
        </w:tc>
        <w:tc>
          <w:tcPr>
            <w:tcW w:w="1432"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p>
        </w:tc>
      </w:tr>
      <w:tr w:rsidR="009E7F44" w:rsidRPr="009E7F44" w:rsidTr="009E7F44">
        <w:trPr>
          <w:trHeight w:val="645"/>
        </w:trPr>
        <w:tc>
          <w:tcPr>
            <w:tcW w:w="1413" w:type="dxa"/>
            <w:gridSpan w:val="2"/>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Indikator</w:t>
            </w:r>
          </w:p>
        </w:tc>
        <w:tc>
          <w:tcPr>
            <w:tcW w:w="2050"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7417" w:type="dxa"/>
            <w:gridSpan w:val="3"/>
            <w:tcBorders>
              <w:top w:val="nil"/>
              <w:left w:val="nil"/>
              <w:bottom w:val="nil"/>
              <w:right w:val="nil"/>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 xml:space="preserve">: a. Keberadaan dan komprehensiveness aturan yang mengatur transparansi penyusunan perencanaan kehutanan dan Rencana Tata Ruang dan Rencana Wilayah (RTRW) </w:t>
            </w:r>
          </w:p>
        </w:tc>
      </w:tr>
      <w:tr w:rsidR="009E7F44" w:rsidRPr="009E7F44" w:rsidTr="009E7F44">
        <w:trPr>
          <w:trHeight w:val="825"/>
        </w:trPr>
        <w:tc>
          <w:tcPr>
            <w:tcW w:w="3463" w:type="dxa"/>
            <w:gridSpan w:val="3"/>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Objek Analisis</w:t>
            </w:r>
          </w:p>
        </w:tc>
        <w:tc>
          <w:tcPr>
            <w:tcW w:w="7417" w:type="dxa"/>
            <w:gridSpan w:val="3"/>
            <w:tcBorders>
              <w:top w:val="nil"/>
              <w:left w:val="nil"/>
              <w:bottom w:val="single" w:sz="4" w:space="0" w:color="auto"/>
              <w:right w:val="nil"/>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 Undang-Undang, Peraturan Pemerintah, Peraturan Presiden, Keputusan Presiden, Instruksi Presiden, Peraturan Menteri, Keputusan Menteri, Peraturan Gubernur, Peraturan Daerah atau peraturan yang bersifat teknis</w:t>
            </w:r>
          </w:p>
        </w:tc>
      </w:tr>
      <w:tr w:rsidR="009E7F44" w:rsidRPr="009E7F44" w:rsidTr="009E7F44">
        <w:trPr>
          <w:trHeight w:val="255"/>
        </w:trPr>
        <w:tc>
          <w:tcPr>
            <w:tcW w:w="11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Kode</w:t>
            </w:r>
          </w:p>
        </w:tc>
        <w:tc>
          <w:tcPr>
            <w:tcW w:w="2316" w:type="dxa"/>
            <w:gridSpan w:val="2"/>
            <w:tcBorders>
              <w:top w:val="single" w:sz="4" w:space="0" w:color="auto"/>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Item Data</w:t>
            </w:r>
          </w:p>
        </w:tc>
        <w:tc>
          <w:tcPr>
            <w:tcW w:w="1511"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Sumber Data</w:t>
            </w:r>
          </w:p>
        </w:tc>
        <w:tc>
          <w:tcPr>
            <w:tcW w:w="4474" w:type="dxa"/>
            <w:tcBorders>
              <w:top w:val="nil"/>
              <w:left w:val="nil"/>
              <w:bottom w:val="nil"/>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Sumber Dokumen Hukum dan Kebijakan</w:t>
            </w:r>
          </w:p>
        </w:tc>
        <w:tc>
          <w:tcPr>
            <w:tcW w:w="1432"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Kategori Data</w:t>
            </w:r>
          </w:p>
        </w:tc>
      </w:tr>
      <w:tr w:rsidR="009E7F44" w:rsidRPr="009E7F44" w:rsidTr="009E7F44">
        <w:trPr>
          <w:trHeight w:val="765"/>
        </w:trPr>
        <w:tc>
          <w:tcPr>
            <w:tcW w:w="1147" w:type="dxa"/>
            <w:tcBorders>
              <w:top w:val="nil"/>
              <w:left w:val="single" w:sz="4" w:space="0" w:color="auto"/>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AIa1</w:t>
            </w:r>
          </w:p>
        </w:tc>
        <w:tc>
          <w:tcPr>
            <w:tcW w:w="2316" w:type="dxa"/>
            <w:gridSpan w:val="2"/>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Data/informasi pembuatan RTRW</w:t>
            </w:r>
          </w:p>
        </w:tc>
        <w:tc>
          <w:tcPr>
            <w:tcW w:w="1511"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RTRWK</w:t>
            </w:r>
          </w:p>
        </w:tc>
        <w:tc>
          <w:tcPr>
            <w:tcW w:w="4474" w:type="dxa"/>
            <w:tcBorders>
              <w:top w:val="single" w:sz="4" w:space="0" w:color="auto"/>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 xml:space="preserve">RTRWK Aceh Tenggara 2010-2030, Qanun No 1 Tahun 2010 Tentang RTRWK. Qanun No 1 Tahun 2010 berisi tentang RTRWK, tetapi tidak membicarakan proses pembuatan RTRWK. </w:t>
            </w:r>
          </w:p>
        </w:tc>
        <w:tc>
          <w:tcPr>
            <w:tcW w:w="1432"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2</w:t>
            </w:r>
          </w:p>
        </w:tc>
      </w:tr>
      <w:tr w:rsidR="009E7F44" w:rsidRPr="009E7F44" w:rsidTr="009E7F44">
        <w:trPr>
          <w:trHeight w:val="510"/>
        </w:trPr>
        <w:tc>
          <w:tcPr>
            <w:tcW w:w="1147" w:type="dxa"/>
            <w:tcBorders>
              <w:top w:val="nil"/>
              <w:left w:val="single" w:sz="4" w:space="0" w:color="auto"/>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AIa2</w:t>
            </w:r>
          </w:p>
        </w:tc>
        <w:tc>
          <w:tcPr>
            <w:tcW w:w="2316" w:type="dxa"/>
            <w:gridSpan w:val="2"/>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Informasi rencana pembentukan RTRW(P)</w:t>
            </w:r>
          </w:p>
        </w:tc>
        <w:tc>
          <w:tcPr>
            <w:tcW w:w="1511"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RTRWK</w:t>
            </w:r>
          </w:p>
        </w:tc>
        <w:tc>
          <w:tcPr>
            <w:tcW w:w="4474"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 xml:space="preserve">RTRWK Aceh Tenggara 2010-2030, Qanun No 1 Tahun 2010 Tentang RTRWK. </w:t>
            </w:r>
          </w:p>
        </w:tc>
        <w:tc>
          <w:tcPr>
            <w:tcW w:w="1432"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2</w:t>
            </w:r>
          </w:p>
        </w:tc>
      </w:tr>
      <w:tr w:rsidR="009E7F44" w:rsidRPr="009E7F44" w:rsidTr="009E7F44">
        <w:trPr>
          <w:trHeight w:val="2550"/>
        </w:trPr>
        <w:tc>
          <w:tcPr>
            <w:tcW w:w="1147" w:type="dxa"/>
            <w:tcBorders>
              <w:top w:val="nil"/>
              <w:left w:val="single" w:sz="4" w:space="0" w:color="auto"/>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AIa3</w:t>
            </w:r>
          </w:p>
        </w:tc>
        <w:tc>
          <w:tcPr>
            <w:tcW w:w="2316" w:type="dxa"/>
            <w:gridSpan w:val="2"/>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Pengumuman usulan perubahan peruntukan</w:t>
            </w:r>
          </w:p>
        </w:tc>
        <w:tc>
          <w:tcPr>
            <w:tcW w:w="1511"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RTRWK</w:t>
            </w:r>
          </w:p>
        </w:tc>
        <w:tc>
          <w:tcPr>
            <w:tcW w:w="4474"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 xml:space="preserve">RTRWK Aceh Tenggara 2010-2030, Qanun No 1 Tahun 2010 Tentang RTRWK. Pasal 5 RTRWK menyebutkan : penetapan kawasan strategis Kabupaten Aceh Tenggara yang merupakan bagian Wilayah kabupaten yang penataan ruangnya diprioritaskan, yaitu perubahan peruntukan dan fungsi Kawasan hutan di Kecamatan Leuser dari kawasan hutan lindung menjadi Areal Penggunaan Lain (APL) seluas 15.754 Ha, karena mempunyai pengaruh sangat penting terhadap ekonomi, sosial budaya, dan/atau lingkungan. [Tidak didapatkan dokumen tentang pengumuman perubahan]. </w:t>
            </w:r>
          </w:p>
        </w:tc>
        <w:tc>
          <w:tcPr>
            <w:tcW w:w="1432"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2</w:t>
            </w:r>
          </w:p>
        </w:tc>
      </w:tr>
      <w:tr w:rsidR="009E7F44" w:rsidRPr="009E7F44" w:rsidTr="009E7F44">
        <w:trPr>
          <w:trHeight w:val="765"/>
        </w:trPr>
        <w:tc>
          <w:tcPr>
            <w:tcW w:w="1147" w:type="dxa"/>
            <w:tcBorders>
              <w:top w:val="nil"/>
              <w:left w:val="single" w:sz="4" w:space="0" w:color="auto"/>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AIa4</w:t>
            </w:r>
          </w:p>
        </w:tc>
        <w:tc>
          <w:tcPr>
            <w:tcW w:w="2316" w:type="dxa"/>
            <w:gridSpan w:val="2"/>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Kejelasan informasi  yang dapat diakses berdasarkan uji konsekuensi</w:t>
            </w:r>
          </w:p>
        </w:tc>
        <w:tc>
          <w:tcPr>
            <w:tcW w:w="1511"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RTRWK</w:t>
            </w:r>
          </w:p>
        </w:tc>
        <w:tc>
          <w:tcPr>
            <w:tcW w:w="4474"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RTRWK Aceh Tenggara 2010-2030, Qanun No 1 Tahun 2010 Tentang RTRWK</w:t>
            </w:r>
          </w:p>
        </w:tc>
        <w:tc>
          <w:tcPr>
            <w:tcW w:w="1432"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2</w:t>
            </w:r>
          </w:p>
        </w:tc>
      </w:tr>
    </w:tbl>
    <w:p w:rsidR="00D74DB4" w:rsidRDefault="00D74DB4"/>
    <w:tbl>
      <w:tblPr>
        <w:tblW w:w="4967" w:type="pct"/>
        <w:tblInd w:w="108" w:type="dxa"/>
        <w:tblLook w:val="04A0"/>
      </w:tblPr>
      <w:tblGrid>
        <w:gridCol w:w="1039"/>
        <w:gridCol w:w="2505"/>
        <w:gridCol w:w="1418"/>
        <w:gridCol w:w="4536"/>
        <w:gridCol w:w="1417"/>
      </w:tblGrid>
      <w:tr w:rsidR="009E7F44" w:rsidRPr="009E7F44" w:rsidTr="009E7F44">
        <w:trPr>
          <w:trHeight w:val="660"/>
        </w:trPr>
        <w:tc>
          <w:tcPr>
            <w:tcW w:w="1039"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Indikator</w:t>
            </w:r>
          </w:p>
        </w:tc>
        <w:tc>
          <w:tcPr>
            <w:tcW w:w="2505"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7371" w:type="dxa"/>
            <w:gridSpan w:val="3"/>
            <w:tcBorders>
              <w:top w:val="nil"/>
              <w:left w:val="nil"/>
              <w:bottom w:val="nil"/>
              <w:right w:val="nil"/>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 b. Keberadaan dan komprehensiveness aturan yang mengatur penyusunan perencanaan kehutanan dan Rencana Tata Ruang dan Rencana Wilayah (RTRW) yang partisipatif</w:t>
            </w:r>
          </w:p>
        </w:tc>
      </w:tr>
      <w:tr w:rsidR="009E7F44" w:rsidRPr="009E7F44" w:rsidTr="009E7F44">
        <w:trPr>
          <w:trHeight w:val="1035"/>
        </w:trPr>
        <w:tc>
          <w:tcPr>
            <w:tcW w:w="3544" w:type="dxa"/>
            <w:gridSpan w:val="2"/>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Objek Analisis</w:t>
            </w:r>
          </w:p>
        </w:tc>
        <w:tc>
          <w:tcPr>
            <w:tcW w:w="7371" w:type="dxa"/>
            <w:gridSpan w:val="3"/>
            <w:tcBorders>
              <w:top w:val="nil"/>
              <w:left w:val="nil"/>
              <w:bottom w:val="single" w:sz="4" w:space="0" w:color="auto"/>
              <w:right w:val="nil"/>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 Undang-Undang, Peraturan Pemerintah, Peraturan Presiden, Keputusan Presiden, Instruksi Presiden, Peraturan Menteri, Keputusan Menteri, Peraturan Gubernur, Peraturan Daerah atau peraturan yang bersifat teknis</w:t>
            </w:r>
          </w:p>
        </w:tc>
      </w:tr>
      <w:tr w:rsidR="009E7F44" w:rsidRPr="009E7F44" w:rsidTr="009E7F44">
        <w:trPr>
          <w:trHeight w:val="255"/>
        </w:trPr>
        <w:tc>
          <w:tcPr>
            <w:tcW w:w="10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Kode</w:t>
            </w:r>
          </w:p>
        </w:tc>
        <w:tc>
          <w:tcPr>
            <w:tcW w:w="2505" w:type="dxa"/>
            <w:tcBorders>
              <w:top w:val="single" w:sz="4" w:space="0" w:color="auto"/>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Item Data</w:t>
            </w:r>
          </w:p>
        </w:tc>
        <w:tc>
          <w:tcPr>
            <w:tcW w:w="1418"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Sumber Data</w:t>
            </w:r>
          </w:p>
        </w:tc>
        <w:tc>
          <w:tcPr>
            <w:tcW w:w="4536" w:type="dxa"/>
            <w:tcBorders>
              <w:top w:val="nil"/>
              <w:left w:val="nil"/>
              <w:bottom w:val="nil"/>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Sumber Dokumen Hukum dan Kebijakan</w:t>
            </w:r>
          </w:p>
        </w:tc>
        <w:tc>
          <w:tcPr>
            <w:tcW w:w="1417"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Kategori Data</w:t>
            </w:r>
          </w:p>
        </w:tc>
      </w:tr>
      <w:tr w:rsidR="009E7F44" w:rsidRPr="009E7F44" w:rsidTr="009E7F44">
        <w:trPr>
          <w:trHeight w:val="1020"/>
        </w:trPr>
        <w:tc>
          <w:tcPr>
            <w:tcW w:w="1039" w:type="dxa"/>
            <w:tcBorders>
              <w:top w:val="nil"/>
              <w:left w:val="single" w:sz="4" w:space="0" w:color="auto"/>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AIb1</w:t>
            </w:r>
          </w:p>
        </w:tc>
        <w:tc>
          <w:tcPr>
            <w:tcW w:w="2505"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Mekanisme pengambilan keputusan yang memudahkan keterlibatan pihak yang berkepentingan</w:t>
            </w:r>
          </w:p>
        </w:tc>
        <w:tc>
          <w:tcPr>
            <w:tcW w:w="1418"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RTRWK</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 xml:space="preserve">RTRWK Aceh Tenggara 2010-2030, Qanun No 1 Tahun 2010 Tentang RTRWK tidak mengatur mekanisme pengambilan keputusan. </w:t>
            </w:r>
          </w:p>
        </w:tc>
        <w:tc>
          <w:tcPr>
            <w:tcW w:w="1417"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1</w:t>
            </w:r>
          </w:p>
        </w:tc>
      </w:tr>
      <w:tr w:rsidR="009E7F44" w:rsidRPr="009E7F44" w:rsidTr="009E7F44">
        <w:trPr>
          <w:trHeight w:val="765"/>
        </w:trPr>
        <w:tc>
          <w:tcPr>
            <w:tcW w:w="1039" w:type="dxa"/>
            <w:tcBorders>
              <w:top w:val="nil"/>
              <w:left w:val="single" w:sz="4" w:space="0" w:color="auto"/>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AIb2</w:t>
            </w:r>
          </w:p>
        </w:tc>
        <w:tc>
          <w:tcPr>
            <w:tcW w:w="2505"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Petugas khusus yang bertanggung jawab mengelola masukan publik</w:t>
            </w:r>
          </w:p>
        </w:tc>
        <w:tc>
          <w:tcPr>
            <w:tcW w:w="1418"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RTRWK</w:t>
            </w:r>
          </w:p>
        </w:tc>
        <w:tc>
          <w:tcPr>
            <w:tcW w:w="4536"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 xml:space="preserve">RTRWK Aceh Tenggara 2010-2030, Qanun No 1 Tahun 2010 Tentang RTRWK tidak mengatur petugas khusus yang bertanggung-jawab mengelola masukan publik. </w:t>
            </w:r>
          </w:p>
        </w:tc>
        <w:tc>
          <w:tcPr>
            <w:tcW w:w="1417"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1</w:t>
            </w:r>
          </w:p>
        </w:tc>
      </w:tr>
      <w:tr w:rsidR="009E7F44" w:rsidRPr="009E7F44" w:rsidTr="009E7F44">
        <w:trPr>
          <w:trHeight w:val="510"/>
        </w:trPr>
        <w:tc>
          <w:tcPr>
            <w:tcW w:w="1039" w:type="dxa"/>
            <w:tcBorders>
              <w:top w:val="nil"/>
              <w:left w:val="single" w:sz="4" w:space="0" w:color="auto"/>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AIb3</w:t>
            </w:r>
          </w:p>
        </w:tc>
        <w:tc>
          <w:tcPr>
            <w:tcW w:w="2505"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Dokumentasi setiap masukan (tertulis/tidak tertulis)</w:t>
            </w:r>
          </w:p>
        </w:tc>
        <w:tc>
          <w:tcPr>
            <w:tcW w:w="1418"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RTRWK</w:t>
            </w:r>
          </w:p>
        </w:tc>
        <w:tc>
          <w:tcPr>
            <w:tcW w:w="4536"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RTRWK Aceh Tenggara 2010-2030, Qanun No 1 Tahun 2010 Tentang RTRWK</w:t>
            </w:r>
          </w:p>
        </w:tc>
        <w:tc>
          <w:tcPr>
            <w:tcW w:w="1417"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2</w:t>
            </w:r>
          </w:p>
        </w:tc>
      </w:tr>
      <w:tr w:rsidR="009E7F44" w:rsidRPr="009E7F44" w:rsidTr="009E7F44">
        <w:trPr>
          <w:trHeight w:val="510"/>
        </w:trPr>
        <w:tc>
          <w:tcPr>
            <w:tcW w:w="1039" w:type="dxa"/>
            <w:tcBorders>
              <w:top w:val="nil"/>
              <w:left w:val="single" w:sz="4" w:space="0" w:color="auto"/>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AIb4</w:t>
            </w:r>
          </w:p>
        </w:tc>
        <w:tc>
          <w:tcPr>
            <w:tcW w:w="2505"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Mekanisme respon terhadap masukan yang ada</w:t>
            </w:r>
          </w:p>
        </w:tc>
        <w:tc>
          <w:tcPr>
            <w:tcW w:w="1418"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RTRWK</w:t>
            </w:r>
          </w:p>
        </w:tc>
        <w:tc>
          <w:tcPr>
            <w:tcW w:w="4536"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 xml:space="preserve">RTRWK Aceh Tenggara 2010-2030, Qanun No 1 Tahun 2010 Tentang RTRWK. </w:t>
            </w:r>
          </w:p>
        </w:tc>
        <w:tc>
          <w:tcPr>
            <w:tcW w:w="1417"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2</w:t>
            </w:r>
          </w:p>
        </w:tc>
      </w:tr>
      <w:tr w:rsidR="009E7F44" w:rsidRPr="009E7F44" w:rsidTr="009E7F44">
        <w:trPr>
          <w:trHeight w:val="510"/>
        </w:trPr>
        <w:tc>
          <w:tcPr>
            <w:tcW w:w="1039" w:type="dxa"/>
            <w:tcBorders>
              <w:top w:val="nil"/>
              <w:left w:val="single" w:sz="4" w:space="0" w:color="auto"/>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AIb5</w:t>
            </w:r>
          </w:p>
        </w:tc>
        <w:tc>
          <w:tcPr>
            <w:tcW w:w="2505"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Penjelasan atas keputusan akhir yang diambil</w:t>
            </w:r>
          </w:p>
        </w:tc>
        <w:tc>
          <w:tcPr>
            <w:tcW w:w="1418"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RTRWK</w:t>
            </w:r>
          </w:p>
        </w:tc>
        <w:tc>
          <w:tcPr>
            <w:tcW w:w="4536"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RTRWK Aceh Tenggara 2010-2030, Qanun No 1 Tahun 2010 Tentang RTRWK</w:t>
            </w:r>
          </w:p>
        </w:tc>
        <w:tc>
          <w:tcPr>
            <w:tcW w:w="1417"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2</w:t>
            </w:r>
          </w:p>
        </w:tc>
      </w:tr>
      <w:tr w:rsidR="009E7F44" w:rsidRPr="009E7F44" w:rsidTr="009E7F44">
        <w:trPr>
          <w:trHeight w:val="510"/>
        </w:trPr>
        <w:tc>
          <w:tcPr>
            <w:tcW w:w="1039" w:type="dxa"/>
            <w:tcBorders>
              <w:top w:val="nil"/>
              <w:left w:val="single" w:sz="4" w:space="0" w:color="auto"/>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lastRenderedPageBreak/>
              <w:t>AIb6</w:t>
            </w:r>
          </w:p>
        </w:tc>
        <w:tc>
          <w:tcPr>
            <w:tcW w:w="2505"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Pelaksanaan proses partisipasi</w:t>
            </w:r>
          </w:p>
        </w:tc>
        <w:tc>
          <w:tcPr>
            <w:tcW w:w="1418"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RTRWK</w:t>
            </w:r>
          </w:p>
        </w:tc>
        <w:tc>
          <w:tcPr>
            <w:tcW w:w="4536"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 xml:space="preserve">RTRWK Aceh Tenggara 2010-2030, Qanun No 1 Tahun 2010 Tentang RTRWK. </w:t>
            </w:r>
          </w:p>
        </w:tc>
        <w:tc>
          <w:tcPr>
            <w:tcW w:w="1417"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2</w:t>
            </w:r>
          </w:p>
        </w:tc>
      </w:tr>
    </w:tbl>
    <w:p w:rsidR="009E7F44" w:rsidRDefault="009E7F44"/>
    <w:tbl>
      <w:tblPr>
        <w:tblW w:w="4967" w:type="pct"/>
        <w:tblInd w:w="108" w:type="dxa"/>
        <w:tblLook w:val="04A0"/>
      </w:tblPr>
      <w:tblGrid>
        <w:gridCol w:w="1039"/>
        <w:gridCol w:w="2505"/>
        <w:gridCol w:w="1418"/>
        <w:gridCol w:w="4536"/>
        <w:gridCol w:w="1417"/>
      </w:tblGrid>
      <w:tr w:rsidR="009E7F44" w:rsidRPr="009E7F44" w:rsidTr="009E7F44">
        <w:trPr>
          <w:trHeight w:val="600"/>
        </w:trPr>
        <w:tc>
          <w:tcPr>
            <w:tcW w:w="1039"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Indikator</w:t>
            </w:r>
          </w:p>
        </w:tc>
        <w:tc>
          <w:tcPr>
            <w:tcW w:w="2505"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7371" w:type="dxa"/>
            <w:gridSpan w:val="3"/>
            <w:tcBorders>
              <w:top w:val="nil"/>
              <w:left w:val="nil"/>
              <w:bottom w:val="nil"/>
              <w:right w:val="nil"/>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 c. Keberadaan dan komprehensiveness aturan yang mengatur program peningkatan kapasitas masyarakat dalam proses perencanaan kehutanan dan Rencana Tata Ruang dan Rencana Wilayah (RTRW)</w:t>
            </w:r>
          </w:p>
        </w:tc>
      </w:tr>
      <w:tr w:rsidR="009E7F44" w:rsidRPr="009E7F44" w:rsidTr="009E7F44">
        <w:trPr>
          <w:trHeight w:val="1230"/>
        </w:trPr>
        <w:tc>
          <w:tcPr>
            <w:tcW w:w="3544" w:type="dxa"/>
            <w:gridSpan w:val="2"/>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Objek Analisis</w:t>
            </w:r>
          </w:p>
        </w:tc>
        <w:tc>
          <w:tcPr>
            <w:tcW w:w="7371" w:type="dxa"/>
            <w:gridSpan w:val="3"/>
            <w:tcBorders>
              <w:top w:val="nil"/>
              <w:left w:val="nil"/>
              <w:bottom w:val="single" w:sz="4" w:space="0" w:color="auto"/>
              <w:right w:val="nil"/>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 Undang-Undang, Peraturan Pemerintah, Peraturan Presiden, Keputusan Presiden, Instruksi Presiden, Peraturan Menteri, Keputusan Menteri, Peraturan Gubernur, Peraturan Daerah atau peraturan yang bersifat Teknis, RPJMN/D, Renstranas/da</w:t>
            </w:r>
          </w:p>
        </w:tc>
      </w:tr>
      <w:tr w:rsidR="009E7F44" w:rsidRPr="009E7F44" w:rsidTr="009E7F44">
        <w:trPr>
          <w:trHeight w:val="255"/>
        </w:trPr>
        <w:tc>
          <w:tcPr>
            <w:tcW w:w="1039" w:type="dxa"/>
            <w:tcBorders>
              <w:top w:val="single" w:sz="4" w:space="0" w:color="auto"/>
              <w:left w:val="single" w:sz="4" w:space="0" w:color="auto"/>
              <w:bottom w:val="nil"/>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Kode</w:t>
            </w:r>
          </w:p>
        </w:tc>
        <w:tc>
          <w:tcPr>
            <w:tcW w:w="2505" w:type="dxa"/>
            <w:tcBorders>
              <w:top w:val="single" w:sz="4" w:space="0" w:color="auto"/>
              <w:left w:val="nil"/>
              <w:bottom w:val="nil"/>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Item Data</w:t>
            </w:r>
          </w:p>
        </w:tc>
        <w:tc>
          <w:tcPr>
            <w:tcW w:w="1418" w:type="dxa"/>
            <w:tcBorders>
              <w:top w:val="nil"/>
              <w:left w:val="nil"/>
              <w:bottom w:val="nil"/>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Sumber Data</w:t>
            </w:r>
          </w:p>
        </w:tc>
        <w:tc>
          <w:tcPr>
            <w:tcW w:w="4536" w:type="dxa"/>
            <w:tcBorders>
              <w:top w:val="nil"/>
              <w:left w:val="nil"/>
              <w:bottom w:val="nil"/>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Sumber Dokumen Hukum dan Kebijakan</w:t>
            </w:r>
          </w:p>
        </w:tc>
        <w:tc>
          <w:tcPr>
            <w:tcW w:w="1417" w:type="dxa"/>
            <w:tcBorders>
              <w:top w:val="nil"/>
              <w:left w:val="nil"/>
              <w:bottom w:val="nil"/>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Kategori Data</w:t>
            </w:r>
          </w:p>
        </w:tc>
      </w:tr>
      <w:tr w:rsidR="009E7F44" w:rsidRPr="009E7F44" w:rsidTr="009E7F44">
        <w:trPr>
          <w:trHeight w:val="3060"/>
        </w:trPr>
        <w:tc>
          <w:tcPr>
            <w:tcW w:w="10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AIc1</w:t>
            </w:r>
          </w:p>
        </w:tc>
        <w:tc>
          <w:tcPr>
            <w:tcW w:w="2505" w:type="dxa"/>
            <w:tcBorders>
              <w:top w:val="single" w:sz="4" w:space="0" w:color="auto"/>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Program peningkatan kapasitas masyarakat Adat/ Lokal dalam perencanaan kehutanan dan wilayah</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RTRWK</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 xml:space="preserve">Bab 4 Naskah RTRWK Aceh Tenggara 2010-2030, Qanun No 1 Tahun 2010 Tentang RTRWK.  Dalam naskah RTRWK Aceh Tenggara Tahun 2010-2030 disebutkan bahwa salah satu tujuan perencanaan kehutanan dan wilayah adalah meningkatkan partisipasi masyarakat dalam penataan ruang. Bab 4 juga mengatur tentang pola prinsip-prinsip pola penataan keruangan di Aceh Tenggara. Pasal 8 Qanun RTRWK Aceh Tenggara menyebutkan bahwa salah satu tujuan penyusunan RTRWK sebagaimana disebutkan di point 6 adalah meningkatkan pemanfaatan sumber daya alam secara berkelanjutan bagi peningkatan kesejahteraan masyarakat di Kabupaten Aceh Tenggara.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3</w:t>
            </w:r>
          </w:p>
        </w:tc>
      </w:tr>
      <w:tr w:rsidR="009E7F44" w:rsidRPr="009E7F44" w:rsidTr="009E7F44">
        <w:trPr>
          <w:trHeight w:val="765"/>
        </w:trPr>
        <w:tc>
          <w:tcPr>
            <w:tcW w:w="1039" w:type="dxa"/>
            <w:tcBorders>
              <w:top w:val="nil"/>
              <w:left w:val="single" w:sz="4" w:space="0" w:color="auto"/>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AIc2</w:t>
            </w:r>
          </w:p>
        </w:tc>
        <w:tc>
          <w:tcPr>
            <w:tcW w:w="2505"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Program peningkatan kapasitas pemerintah dalam perencanaan kehuatanan dan wilayah</w:t>
            </w:r>
          </w:p>
        </w:tc>
        <w:tc>
          <w:tcPr>
            <w:tcW w:w="1418"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RTRWK</w:t>
            </w:r>
          </w:p>
        </w:tc>
        <w:tc>
          <w:tcPr>
            <w:tcW w:w="4536"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 xml:space="preserve">Bab 4 Naskah RTRWK Aceh Tenggara 2010-2030, Qanun No 1 Tahun 2010 Tentang RTRWK. </w:t>
            </w:r>
          </w:p>
        </w:tc>
        <w:tc>
          <w:tcPr>
            <w:tcW w:w="1417"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3</w:t>
            </w:r>
          </w:p>
        </w:tc>
      </w:tr>
    </w:tbl>
    <w:p w:rsidR="009E7F44" w:rsidRDefault="009E7F44"/>
    <w:tbl>
      <w:tblPr>
        <w:tblW w:w="4967" w:type="pct"/>
        <w:tblInd w:w="108" w:type="dxa"/>
        <w:tblLook w:val="04A0"/>
      </w:tblPr>
      <w:tblGrid>
        <w:gridCol w:w="1039"/>
        <w:gridCol w:w="2080"/>
        <w:gridCol w:w="1837"/>
        <w:gridCol w:w="4258"/>
        <w:gridCol w:w="1701"/>
      </w:tblGrid>
      <w:tr w:rsidR="009E7F44" w:rsidRPr="009E7F44" w:rsidTr="009E7F44">
        <w:trPr>
          <w:trHeight w:val="945"/>
        </w:trPr>
        <w:tc>
          <w:tcPr>
            <w:tcW w:w="1039"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Indikator</w:t>
            </w:r>
          </w:p>
        </w:tc>
        <w:tc>
          <w:tcPr>
            <w:tcW w:w="2080"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7796" w:type="dxa"/>
            <w:gridSpan w:val="3"/>
            <w:tcBorders>
              <w:top w:val="nil"/>
              <w:left w:val="nil"/>
              <w:bottom w:val="nil"/>
              <w:right w:val="nil"/>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 d. Keberadaan dan komprehensiveness aturan yang mengatur Mekanisme penanganan pengaduan dalam proses perencanaan kehutanan dan Rencana Tata Ruang dan Rencana Wilayah (RTRW)</w:t>
            </w:r>
          </w:p>
        </w:tc>
      </w:tr>
      <w:tr w:rsidR="009E7F44" w:rsidRPr="009E7F44" w:rsidTr="009E7F44">
        <w:trPr>
          <w:trHeight w:val="1005"/>
        </w:trPr>
        <w:tc>
          <w:tcPr>
            <w:tcW w:w="3119" w:type="dxa"/>
            <w:gridSpan w:val="2"/>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Sumber Data</w:t>
            </w:r>
          </w:p>
        </w:tc>
        <w:tc>
          <w:tcPr>
            <w:tcW w:w="7796" w:type="dxa"/>
            <w:gridSpan w:val="3"/>
            <w:tcBorders>
              <w:top w:val="nil"/>
              <w:left w:val="nil"/>
              <w:bottom w:val="single" w:sz="4" w:space="0" w:color="auto"/>
              <w:right w:val="nil"/>
            </w:tcBorders>
            <w:shd w:val="clear" w:color="auto" w:fill="auto"/>
            <w:vAlign w:val="center"/>
            <w:hideMark/>
          </w:tcPr>
          <w:p w:rsidR="009E7F44" w:rsidRPr="009E7F44" w:rsidRDefault="009E7F44" w:rsidP="009E7F44">
            <w:pPr>
              <w:spacing w:after="24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 Undang-Undang, Peraturan Pemerintah, Peraturan Presiden, Keputusan Presiden, Instruksi Presiden, Peraturan Menteri, Keputusan Menteri, Peraturan Gubernur, Peraturan Daerah atau peraturan yang bersifat teknis</w:t>
            </w:r>
          </w:p>
        </w:tc>
      </w:tr>
      <w:tr w:rsidR="009E7F44" w:rsidRPr="009E7F44" w:rsidTr="009E7F44">
        <w:trPr>
          <w:trHeight w:val="510"/>
        </w:trPr>
        <w:tc>
          <w:tcPr>
            <w:tcW w:w="1039" w:type="dxa"/>
            <w:tcBorders>
              <w:top w:val="single" w:sz="4" w:space="0" w:color="auto"/>
              <w:left w:val="single" w:sz="4" w:space="0" w:color="auto"/>
              <w:bottom w:val="nil"/>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Kode</w:t>
            </w:r>
          </w:p>
        </w:tc>
        <w:tc>
          <w:tcPr>
            <w:tcW w:w="2080" w:type="dxa"/>
            <w:tcBorders>
              <w:top w:val="single" w:sz="4" w:space="0" w:color="auto"/>
              <w:left w:val="nil"/>
              <w:bottom w:val="nil"/>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Item Data</w:t>
            </w:r>
          </w:p>
        </w:tc>
        <w:tc>
          <w:tcPr>
            <w:tcW w:w="1837"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DRPK /BEPPEDA</w:t>
            </w:r>
          </w:p>
        </w:tc>
        <w:tc>
          <w:tcPr>
            <w:tcW w:w="4258" w:type="dxa"/>
            <w:tcBorders>
              <w:top w:val="nil"/>
              <w:left w:val="nil"/>
              <w:bottom w:val="nil"/>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Sumber Dokumen Hukum dan Kebijakan</w:t>
            </w:r>
          </w:p>
        </w:tc>
        <w:tc>
          <w:tcPr>
            <w:tcW w:w="1701" w:type="dxa"/>
            <w:tcBorders>
              <w:top w:val="nil"/>
              <w:left w:val="nil"/>
              <w:bottom w:val="nil"/>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Kategori Data</w:t>
            </w:r>
          </w:p>
        </w:tc>
      </w:tr>
      <w:tr w:rsidR="009E7F44" w:rsidRPr="009E7F44" w:rsidTr="009E7F44">
        <w:trPr>
          <w:trHeight w:val="765"/>
        </w:trPr>
        <w:tc>
          <w:tcPr>
            <w:tcW w:w="10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AId1</w:t>
            </w:r>
          </w:p>
        </w:tc>
        <w:tc>
          <w:tcPr>
            <w:tcW w:w="2080" w:type="dxa"/>
            <w:tcBorders>
              <w:top w:val="single" w:sz="4" w:space="0" w:color="auto"/>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Mekanisme pengaduan (termasuk ketentuan tenggat waktu &amp; tindakan yang diambil)</w:t>
            </w:r>
          </w:p>
        </w:tc>
        <w:tc>
          <w:tcPr>
            <w:tcW w:w="1837"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RTRWK</w:t>
            </w:r>
          </w:p>
        </w:tc>
        <w:tc>
          <w:tcPr>
            <w:tcW w:w="4258" w:type="dxa"/>
            <w:tcBorders>
              <w:top w:val="single" w:sz="4" w:space="0" w:color="auto"/>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 xml:space="preserve">RTRWK Aceh Tenggara 2010-2030, Pasal 93 Qanun No 1 Tahun 2010 Tentang RTRWK. </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2</w:t>
            </w:r>
          </w:p>
        </w:tc>
      </w:tr>
      <w:tr w:rsidR="009E7F44" w:rsidRPr="009E7F44" w:rsidTr="009E7F44">
        <w:trPr>
          <w:trHeight w:val="510"/>
        </w:trPr>
        <w:tc>
          <w:tcPr>
            <w:tcW w:w="1039" w:type="dxa"/>
            <w:tcBorders>
              <w:top w:val="nil"/>
              <w:left w:val="single" w:sz="4" w:space="0" w:color="auto"/>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AId2</w:t>
            </w:r>
          </w:p>
        </w:tc>
        <w:tc>
          <w:tcPr>
            <w:tcW w:w="2080"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Mekanisme resolusi konflik</w:t>
            </w:r>
          </w:p>
        </w:tc>
        <w:tc>
          <w:tcPr>
            <w:tcW w:w="1837"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RTRWK</w:t>
            </w:r>
          </w:p>
        </w:tc>
        <w:tc>
          <w:tcPr>
            <w:tcW w:w="4258"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RTRWK Aceh Tenggara 2010-2030, Pasal 93 Qanun No 1 Tahun 2010 Tentang RTRWK</w:t>
            </w:r>
          </w:p>
        </w:tc>
        <w:tc>
          <w:tcPr>
            <w:tcW w:w="1701"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2</w:t>
            </w:r>
          </w:p>
        </w:tc>
      </w:tr>
      <w:tr w:rsidR="009E7F44" w:rsidRPr="009E7F44" w:rsidTr="009E7F44">
        <w:trPr>
          <w:trHeight w:val="765"/>
        </w:trPr>
        <w:tc>
          <w:tcPr>
            <w:tcW w:w="1039" w:type="dxa"/>
            <w:tcBorders>
              <w:top w:val="nil"/>
              <w:left w:val="single" w:sz="4" w:space="0" w:color="auto"/>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AId3</w:t>
            </w:r>
          </w:p>
        </w:tc>
        <w:tc>
          <w:tcPr>
            <w:tcW w:w="2080"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Keahlian &amp; pemahaman mediator tentang isu-isu masyarakat adat/lokal</w:t>
            </w:r>
          </w:p>
        </w:tc>
        <w:tc>
          <w:tcPr>
            <w:tcW w:w="1837"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RTRWK</w:t>
            </w:r>
          </w:p>
        </w:tc>
        <w:tc>
          <w:tcPr>
            <w:tcW w:w="4258"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Berdasarkan dokumen yang tersedia, tidak ada mengatur tentangkeahlian mediator tentang isu masyarakat adat</w:t>
            </w:r>
          </w:p>
        </w:tc>
        <w:tc>
          <w:tcPr>
            <w:tcW w:w="1701"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1</w:t>
            </w:r>
          </w:p>
        </w:tc>
      </w:tr>
    </w:tbl>
    <w:p w:rsidR="009E7F44" w:rsidRDefault="009E7F44"/>
    <w:tbl>
      <w:tblPr>
        <w:tblW w:w="4951" w:type="pct"/>
        <w:tblInd w:w="108" w:type="dxa"/>
        <w:tblLook w:val="04A0"/>
      </w:tblPr>
      <w:tblGrid>
        <w:gridCol w:w="998"/>
        <w:gridCol w:w="136"/>
        <w:gridCol w:w="2084"/>
        <w:gridCol w:w="1579"/>
        <w:gridCol w:w="4407"/>
        <w:gridCol w:w="1676"/>
      </w:tblGrid>
      <w:tr w:rsidR="009E7F44" w:rsidRPr="009E7F44" w:rsidTr="009E7F44">
        <w:trPr>
          <w:trHeight w:val="330"/>
        </w:trPr>
        <w:tc>
          <w:tcPr>
            <w:tcW w:w="3218" w:type="dxa"/>
            <w:gridSpan w:val="3"/>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Isu dalam PGA REDD+</w:t>
            </w:r>
          </w:p>
        </w:tc>
        <w:tc>
          <w:tcPr>
            <w:tcW w:w="5986" w:type="dxa"/>
            <w:gridSpan w:val="2"/>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  II.Pengaturan Hak</w:t>
            </w:r>
          </w:p>
        </w:tc>
        <w:tc>
          <w:tcPr>
            <w:tcW w:w="1676"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p>
        </w:tc>
      </w:tr>
      <w:tr w:rsidR="009E7F44" w:rsidRPr="009E7F44" w:rsidTr="009E7F44">
        <w:trPr>
          <w:trHeight w:val="690"/>
        </w:trPr>
        <w:tc>
          <w:tcPr>
            <w:tcW w:w="1134" w:type="dxa"/>
            <w:gridSpan w:val="2"/>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Indikator</w:t>
            </w:r>
          </w:p>
        </w:tc>
        <w:tc>
          <w:tcPr>
            <w:tcW w:w="2084"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7662" w:type="dxa"/>
            <w:gridSpan w:val="3"/>
            <w:tcBorders>
              <w:top w:val="nil"/>
              <w:left w:val="nil"/>
              <w:bottom w:val="nil"/>
              <w:right w:val="nil"/>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 a. Keberadaan dan komprehensiveness aturan yang mengatur transparansi penetapan hak kelola hutan bagi masyarakat adat/lokal dan bisnis</w:t>
            </w:r>
          </w:p>
        </w:tc>
      </w:tr>
      <w:tr w:rsidR="009E7F44" w:rsidRPr="009E7F44" w:rsidTr="009E7F44">
        <w:trPr>
          <w:trHeight w:val="630"/>
        </w:trPr>
        <w:tc>
          <w:tcPr>
            <w:tcW w:w="3218" w:type="dxa"/>
            <w:gridSpan w:val="3"/>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lastRenderedPageBreak/>
              <w:t>Sumber Data</w:t>
            </w:r>
          </w:p>
        </w:tc>
        <w:tc>
          <w:tcPr>
            <w:tcW w:w="7662" w:type="dxa"/>
            <w:gridSpan w:val="3"/>
            <w:tcBorders>
              <w:top w:val="nil"/>
              <w:left w:val="nil"/>
              <w:bottom w:val="single" w:sz="4" w:space="0" w:color="auto"/>
              <w:right w:val="nil"/>
            </w:tcBorders>
            <w:shd w:val="clear" w:color="auto" w:fill="auto"/>
            <w:vAlign w:val="center"/>
            <w:hideMark/>
          </w:tcPr>
          <w:p w:rsidR="009E7F44" w:rsidRPr="009E7F44" w:rsidRDefault="009E7F44" w:rsidP="009E7F44">
            <w:pPr>
              <w:spacing w:after="24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 Sumber (Undang2 keterbukaan informasi publik, PP, permenhut ttg pemberian ijin, pergub/bup (terkait kehutanan), Permenhut 7/2011</w:t>
            </w:r>
            <w:r w:rsidRPr="009E7F44">
              <w:rPr>
                <w:rFonts w:ascii="Times New Roman" w:eastAsia="Times New Roman" w:hAnsi="Times New Roman" w:cs="Times New Roman"/>
                <w:b/>
                <w:bCs/>
                <w:color w:val="000000"/>
                <w:sz w:val="20"/>
                <w:szCs w:val="20"/>
                <w:lang w:eastAsia="id-ID"/>
              </w:rPr>
              <w:br/>
            </w:r>
          </w:p>
        </w:tc>
      </w:tr>
      <w:tr w:rsidR="009E7F44" w:rsidRPr="009E7F44" w:rsidTr="009E7F44">
        <w:trPr>
          <w:trHeight w:val="255"/>
        </w:trPr>
        <w:tc>
          <w:tcPr>
            <w:tcW w:w="9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Kode</w:t>
            </w:r>
          </w:p>
        </w:tc>
        <w:tc>
          <w:tcPr>
            <w:tcW w:w="2220" w:type="dxa"/>
            <w:gridSpan w:val="2"/>
            <w:tcBorders>
              <w:top w:val="single" w:sz="4" w:space="0" w:color="auto"/>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Item Data</w:t>
            </w:r>
          </w:p>
        </w:tc>
        <w:tc>
          <w:tcPr>
            <w:tcW w:w="1579"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Sumber Data</w:t>
            </w:r>
          </w:p>
        </w:tc>
        <w:tc>
          <w:tcPr>
            <w:tcW w:w="4407"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Sumber Dokumen Hukum dan Kebijakan</w:t>
            </w:r>
          </w:p>
        </w:tc>
        <w:tc>
          <w:tcPr>
            <w:tcW w:w="1676"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Kategori Data</w:t>
            </w:r>
          </w:p>
        </w:tc>
      </w:tr>
      <w:tr w:rsidR="009E7F44" w:rsidRPr="009E7F44" w:rsidTr="009E7F44">
        <w:trPr>
          <w:trHeight w:val="765"/>
        </w:trPr>
        <w:tc>
          <w:tcPr>
            <w:tcW w:w="998" w:type="dxa"/>
            <w:tcBorders>
              <w:top w:val="nil"/>
              <w:left w:val="single" w:sz="4" w:space="0" w:color="auto"/>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AIIa1</w:t>
            </w:r>
          </w:p>
        </w:tc>
        <w:tc>
          <w:tcPr>
            <w:tcW w:w="2220" w:type="dxa"/>
            <w:gridSpan w:val="2"/>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Ketersediaan seluruh informasi secara sistematis sehingga mudah diakses</w:t>
            </w:r>
          </w:p>
        </w:tc>
        <w:tc>
          <w:tcPr>
            <w:tcW w:w="1579"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RTRWK</w:t>
            </w:r>
          </w:p>
        </w:tc>
        <w:tc>
          <w:tcPr>
            <w:tcW w:w="4407"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Bab 7 Naskah RTRWK Aceh Tenggara 2010-2030, Qanun No 1 Tahun 2010 Tentang RTRWK</w:t>
            </w:r>
          </w:p>
        </w:tc>
        <w:tc>
          <w:tcPr>
            <w:tcW w:w="1676"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2</w:t>
            </w:r>
          </w:p>
        </w:tc>
      </w:tr>
      <w:tr w:rsidR="009E7F44" w:rsidRPr="009E7F44" w:rsidTr="009E7F44">
        <w:trPr>
          <w:trHeight w:val="765"/>
        </w:trPr>
        <w:tc>
          <w:tcPr>
            <w:tcW w:w="998" w:type="dxa"/>
            <w:tcBorders>
              <w:top w:val="nil"/>
              <w:left w:val="single" w:sz="4" w:space="0" w:color="auto"/>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AIIa2</w:t>
            </w:r>
          </w:p>
        </w:tc>
        <w:tc>
          <w:tcPr>
            <w:tcW w:w="2220" w:type="dxa"/>
            <w:gridSpan w:val="2"/>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Kewajiban memiliki petugas khusus yang menangani permintaan informasi</w:t>
            </w:r>
          </w:p>
        </w:tc>
        <w:tc>
          <w:tcPr>
            <w:tcW w:w="1579"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RTRWK</w:t>
            </w:r>
          </w:p>
        </w:tc>
        <w:tc>
          <w:tcPr>
            <w:tcW w:w="4407"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Berdasarkan dokumen yang didapatkan, tidak ada aturan kewajiban memiliki petugas khusus yang menangani permintaan informasi</w:t>
            </w:r>
          </w:p>
        </w:tc>
        <w:tc>
          <w:tcPr>
            <w:tcW w:w="1676"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1</w:t>
            </w:r>
          </w:p>
        </w:tc>
      </w:tr>
      <w:tr w:rsidR="009E7F44" w:rsidRPr="009E7F44" w:rsidTr="009E7F44">
        <w:trPr>
          <w:trHeight w:val="1020"/>
        </w:trPr>
        <w:tc>
          <w:tcPr>
            <w:tcW w:w="998" w:type="dxa"/>
            <w:tcBorders>
              <w:top w:val="nil"/>
              <w:left w:val="single" w:sz="4" w:space="0" w:color="auto"/>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AIIa3</w:t>
            </w:r>
          </w:p>
        </w:tc>
        <w:tc>
          <w:tcPr>
            <w:tcW w:w="2220" w:type="dxa"/>
            <w:gridSpan w:val="2"/>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Kewajiban pemberian akses bagi publik baik secara proaktif maupun berdasarkan permintaan</w:t>
            </w:r>
          </w:p>
        </w:tc>
        <w:tc>
          <w:tcPr>
            <w:tcW w:w="1579"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RTRWK</w:t>
            </w:r>
          </w:p>
        </w:tc>
        <w:tc>
          <w:tcPr>
            <w:tcW w:w="4407"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Naskah RTRWK Aceh Tenggara 2010-2030, Qanun No 1 Tahun 2010 Tentang RTRWK</w:t>
            </w:r>
          </w:p>
        </w:tc>
        <w:tc>
          <w:tcPr>
            <w:tcW w:w="1676"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2</w:t>
            </w:r>
          </w:p>
        </w:tc>
      </w:tr>
      <w:tr w:rsidR="009E7F44" w:rsidRPr="009E7F44" w:rsidTr="009E7F44">
        <w:trPr>
          <w:trHeight w:val="1275"/>
        </w:trPr>
        <w:tc>
          <w:tcPr>
            <w:tcW w:w="998" w:type="dxa"/>
            <w:tcBorders>
              <w:top w:val="nil"/>
              <w:left w:val="single" w:sz="4" w:space="0" w:color="auto"/>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AIIa4</w:t>
            </w:r>
          </w:p>
        </w:tc>
        <w:tc>
          <w:tcPr>
            <w:tcW w:w="2220" w:type="dxa"/>
            <w:gridSpan w:val="2"/>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Informasi yang diumumkan tentang rencana kegiatan/proyek yang disertai dengan dokumen pendukungnya</w:t>
            </w:r>
          </w:p>
        </w:tc>
        <w:tc>
          <w:tcPr>
            <w:tcW w:w="1579"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RTRWK</w:t>
            </w:r>
          </w:p>
        </w:tc>
        <w:tc>
          <w:tcPr>
            <w:tcW w:w="4407"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Dokumen tidak didapatkan, tapi berdasarkan informasi dari Kabid Dinas Kehutanan (Azanuddin Kurnia)</w:t>
            </w:r>
          </w:p>
        </w:tc>
        <w:tc>
          <w:tcPr>
            <w:tcW w:w="1676"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2</w:t>
            </w:r>
          </w:p>
        </w:tc>
      </w:tr>
      <w:tr w:rsidR="009E7F44" w:rsidRPr="009E7F44" w:rsidTr="009E7F44">
        <w:trPr>
          <w:trHeight w:val="1275"/>
        </w:trPr>
        <w:tc>
          <w:tcPr>
            <w:tcW w:w="998" w:type="dxa"/>
            <w:tcBorders>
              <w:top w:val="nil"/>
              <w:left w:val="single" w:sz="4" w:space="0" w:color="auto"/>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AIIa5</w:t>
            </w:r>
          </w:p>
        </w:tc>
        <w:tc>
          <w:tcPr>
            <w:tcW w:w="2220" w:type="dxa"/>
            <w:gridSpan w:val="2"/>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Batasan atas informasi yg dapat diakses diatur dengan jelas dan didasarkan pada kepentingan publik (balancing public interest test)</w:t>
            </w:r>
          </w:p>
        </w:tc>
        <w:tc>
          <w:tcPr>
            <w:tcW w:w="1579"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RTRWK</w:t>
            </w:r>
          </w:p>
        </w:tc>
        <w:tc>
          <w:tcPr>
            <w:tcW w:w="4407"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Naskah RTRWK Aceh Tenggara 2010-2030, Qanun No 1 Tahun 2010 Tentang RTRWK</w:t>
            </w:r>
          </w:p>
        </w:tc>
        <w:tc>
          <w:tcPr>
            <w:tcW w:w="1676"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2</w:t>
            </w:r>
          </w:p>
        </w:tc>
      </w:tr>
      <w:tr w:rsidR="009E7F44" w:rsidRPr="009E7F44" w:rsidTr="009E7F44">
        <w:trPr>
          <w:trHeight w:val="765"/>
        </w:trPr>
        <w:tc>
          <w:tcPr>
            <w:tcW w:w="998" w:type="dxa"/>
            <w:tcBorders>
              <w:top w:val="nil"/>
              <w:left w:val="single" w:sz="4" w:space="0" w:color="auto"/>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AIIa6</w:t>
            </w:r>
          </w:p>
        </w:tc>
        <w:tc>
          <w:tcPr>
            <w:tcW w:w="2220" w:type="dxa"/>
            <w:gridSpan w:val="2"/>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Sanksi bagi pihak-pihak yang sengaja menghambat akses publik atas informasi</w:t>
            </w:r>
          </w:p>
        </w:tc>
        <w:tc>
          <w:tcPr>
            <w:tcW w:w="1579"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 </w:t>
            </w:r>
          </w:p>
        </w:tc>
        <w:tc>
          <w:tcPr>
            <w:tcW w:w="4407"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Tidak ada.</w:t>
            </w:r>
          </w:p>
        </w:tc>
        <w:tc>
          <w:tcPr>
            <w:tcW w:w="1676"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1</w:t>
            </w:r>
          </w:p>
        </w:tc>
      </w:tr>
    </w:tbl>
    <w:p w:rsidR="009E7F44" w:rsidRDefault="009E7F44"/>
    <w:tbl>
      <w:tblPr>
        <w:tblW w:w="4967" w:type="pct"/>
        <w:tblInd w:w="108" w:type="dxa"/>
        <w:tblLook w:val="04A0"/>
      </w:tblPr>
      <w:tblGrid>
        <w:gridCol w:w="1039"/>
        <w:gridCol w:w="2756"/>
        <w:gridCol w:w="939"/>
        <w:gridCol w:w="4480"/>
        <w:gridCol w:w="1701"/>
      </w:tblGrid>
      <w:tr w:rsidR="009E7F44" w:rsidRPr="009E7F44" w:rsidTr="009E7F44">
        <w:trPr>
          <w:trHeight w:val="900"/>
        </w:trPr>
        <w:tc>
          <w:tcPr>
            <w:tcW w:w="1039"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Indikator</w:t>
            </w:r>
          </w:p>
        </w:tc>
        <w:tc>
          <w:tcPr>
            <w:tcW w:w="2756"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7120" w:type="dxa"/>
            <w:gridSpan w:val="3"/>
            <w:tcBorders>
              <w:top w:val="nil"/>
              <w:left w:val="nil"/>
              <w:bottom w:val="nil"/>
              <w:right w:val="nil"/>
            </w:tcBorders>
            <w:shd w:val="clear" w:color="auto" w:fill="auto"/>
            <w:vAlign w:val="center"/>
            <w:hideMark/>
          </w:tcPr>
          <w:p w:rsidR="009E7F44" w:rsidRPr="009E7F44" w:rsidRDefault="009E7F44" w:rsidP="009E7F44">
            <w:pPr>
              <w:spacing w:after="24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 b. Keberadaan dan komprehensiveness aturan yang mengatur pengakuan atas hak kelola hutan yang dimiliki oleh masyarakat adat, masyarakat lokal dan bisnis  terhadap hutan</w:t>
            </w:r>
          </w:p>
        </w:tc>
      </w:tr>
      <w:tr w:rsidR="009E7F44" w:rsidRPr="009E7F44" w:rsidTr="009E7F44">
        <w:trPr>
          <w:trHeight w:val="390"/>
        </w:trPr>
        <w:tc>
          <w:tcPr>
            <w:tcW w:w="3795" w:type="dxa"/>
            <w:gridSpan w:val="2"/>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Sumber Data</w:t>
            </w:r>
          </w:p>
        </w:tc>
        <w:tc>
          <w:tcPr>
            <w:tcW w:w="7120" w:type="dxa"/>
            <w:gridSpan w:val="3"/>
            <w:tcBorders>
              <w:top w:val="nil"/>
              <w:left w:val="nil"/>
              <w:bottom w:val="single" w:sz="4" w:space="0" w:color="auto"/>
              <w:right w:val="nil"/>
            </w:tcBorders>
            <w:shd w:val="clear" w:color="auto" w:fill="auto"/>
            <w:vAlign w:val="center"/>
            <w:hideMark/>
          </w:tcPr>
          <w:p w:rsidR="009E7F44" w:rsidRPr="009E7F44" w:rsidRDefault="009E7F44" w:rsidP="009E7F44">
            <w:pPr>
              <w:spacing w:after="24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 UU, Permenhut, Perda</w:t>
            </w:r>
            <w:r w:rsidRPr="009E7F44">
              <w:rPr>
                <w:rFonts w:ascii="Times New Roman" w:eastAsia="Times New Roman" w:hAnsi="Times New Roman" w:cs="Times New Roman"/>
                <w:b/>
                <w:bCs/>
                <w:color w:val="000000"/>
                <w:sz w:val="20"/>
                <w:szCs w:val="20"/>
                <w:lang w:eastAsia="id-ID"/>
              </w:rPr>
              <w:br/>
            </w:r>
          </w:p>
        </w:tc>
      </w:tr>
      <w:tr w:rsidR="009E7F44" w:rsidRPr="009E7F44" w:rsidTr="009E7F44">
        <w:trPr>
          <w:trHeight w:val="255"/>
        </w:trPr>
        <w:tc>
          <w:tcPr>
            <w:tcW w:w="10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Kode</w:t>
            </w:r>
          </w:p>
        </w:tc>
        <w:tc>
          <w:tcPr>
            <w:tcW w:w="2756" w:type="dxa"/>
            <w:tcBorders>
              <w:top w:val="single" w:sz="4" w:space="0" w:color="auto"/>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Item Data</w:t>
            </w:r>
          </w:p>
        </w:tc>
        <w:tc>
          <w:tcPr>
            <w:tcW w:w="939"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Sumber Data</w:t>
            </w:r>
          </w:p>
        </w:tc>
        <w:tc>
          <w:tcPr>
            <w:tcW w:w="4480"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Sumber Dokumen Hukum dan Kebijakan</w:t>
            </w:r>
          </w:p>
        </w:tc>
        <w:tc>
          <w:tcPr>
            <w:tcW w:w="1701"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Kategori Data</w:t>
            </w:r>
          </w:p>
        </w:tc>
      </w:tr>
      <w:tr w:rsidR="009E7F44" w:rsidRPr="009E7F44" w:rsidTr="009E7F44">
        <w:trPr>
          <w:trHeight w:val="2295"/>
        </w:trPr>
        <w:tc>
          <w:tcPr>
            <w:tcW w:w="1039" w:type="dxa"/>
            <w:tcBorders>
              <w:top w:val="nil"/>
              <w:left w:val="single" w:sz="4" w:space="0" w:color="auto"/>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AIIb1</w:t>
            </w:r>
          </w:p>
        </w:tc>
        <w:tc>
          <w:tcPr>
            <w:tcW w:w="2756"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Pengakuan atas pengelolaan wilayah adat/lokal (sejalan dengan struktur dan pola yang ada)</w:t>
            </w:r>
          </w:p>
        </w:tc>
        <w:tc>
          <w:tcPr>
            <w:tcW w:w="939"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RTRWK</w:t>
            </w:r>
          </w:p>
        </w:tc>
        <w:tc>
          <w:tcPr>
            <w:tcW w:w="4480"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 xml:space="preserve">Bab 7 Naskah RTRWK Aceh Tenggara 2010-2030, Qanun No 1 Tahun 2010 Tentang RTRWK. Pada bab 7 halaman 6 Naskah RTRWK Aceh tenggara disebutkan bahwa : "Kegiatan kepariwisataan diarahkan untuk memanfaatkan potensi keindahan alam, budaya dan sejarah di kawasan peruntukan pariwisata guna mendorong perkembangan pariwisata dengan memperhatikan kelestarian nilai-nilai budaya, adat istiadat, mutu dan keindahan lingkungan alam serta kelestarian fungsi lingkungan hidup". </w:t>
            </w:r>
          </w:p>
        </w:tc>
        <w:tc>
          <w:tcPr>
            <w:tcW w:w="1701"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4</w:t>
            </w:r>
          </w:p>
        </w:tc>
      </w:tr>
      <w:tr w:rsidR="009E7F44" w:rsidRPr="009E7F44" w:rsidTr="009E7F44">
        <w:trPr>
          <w:trHeight w:val="1785"/>
        </w:trPr>
        <w:tc>
          <w:tcPr>
            <w:tcW w:w="1039" w:type="dxa"/>
            <w:tcBorders>
              <w:top w:val="nil"/>
              <w:left w:val="single" w:sz="4" w:space="0" w:color="auto"/>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lastRenderedPageBreak/>
              <w:t>AIIb2</w:t>
            </w:r>
          </w:p>
        </w:tc>
        <w:tc>
          <w:tcPr>
            <w:tcW w:w="2756"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Mekanisme mendapatkan izin pengelolaan</w:t>
            </w:r>
          </w:p>
        </w:tc>
        <w:tc>
          <w:tcPr>
            <w:tcW w:w="939"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RTRWK</w:t>
            </w:r>
          </w:p>
        </w:tc>
        <w:tc>
          <w:tcPr>
            <w:tcW w:w="4480"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 xml:space="preserve">Bab 7 Naskah RTRWK Aceh Tenggara 2010-2030, Qanun No 1 Tahun 2010 Tentang RTRWK. Sub bab 7.2.2. Naskah RTRWK menyebutkan bahwa mekanisme perizinan harus disesuaikan dengan pola pemanfataan ruang dalam RTRWK.  Pasal 1 point 35 menyebutkan : 34. Masyarakat adalah orang perorangan, kelompok orang termasuk masyarakat hokum adat atau badan hukum. Artinya, eksitensinya diakui dalam RTRWK tersebut. </w:t>
            </w:r>
          </w:p>
        </w:tc>
        <w:tc>
          <w:tcPr>
            <w:tcW w:w="1701"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3</w:t>
            </w:r>
          </w:p>
        </w:tc>
      </w:tr>
      <w:tr w:rsidR="009E7F44" w:rsidRPr="009E7F44" w:rsidTr="009E7F44">
        <w:trPr>
          <w:trHeight w:val="3060"/>
        </w:trPr>
        <w:tc>
          <w:tcPr>
            <w:tcW w:w="1039" w:type="dxa"/>
            <w:tcBorders>
              <w:top w:val="nil"/>
              <w:left w:val="single" w:sz="4" w:space="0" w:color="auto"/>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AIIb3</w:t>
            </w:r>
          </w:p>
        </w:tc>
        <w:tc>
          <w:tcPr>
            <w:tcW w:w="2756"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Keuntungan bagi masyarakat Adat/Lokal</w:t>
            </w:r>
          </w:p>
        </w:tc>
        <w:tc>
          <w:tcPr>
            <w:tcW w:w="939"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RTRWK</w:t>
            </w:r>
          </w:p>
        </w:tc>
        <w:tc>
          <w:tcPr>
            <w:tcW w:w="4480"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 xml:space="preserve">Bab 7 Naskah RTRWK Aceh Tenggara 2010-2030, Qanun No 1 Tahun 2010 Tentang RTRWK. Tabel VII.1. Naskah RTRWK menyebutkan : Kawasan yang memiliki nilai strategis dari sudut kepentingan sosial budaya, antara lain kawasan yang merupakan : tempat pelestarian dan pengembangan adat istiadat atau budaya; prioritas peningkatan kualitas sosial dan budaya; aset yang harus dilindungi dan dilestarikan; tempat perlindungan peninggalan budaya; tempat yang memberikan perlindungan terhadap keanekaragaman budaya; atau tempat yang memiliki potensi kerawanan terhadap konflik sosial. Artinya, kawasan-kawasan tersebut diakui keberadaannya, agar memberikan keuntungan bagi masyarakat adat. </w:t>
            </w:r>
          </w:p>
        </w:tc>
        <w:tc>
          <w:tcPr>
            <w:tcW w:w="1701"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2</w:t>
            </w:r>
          </w:p>
        </w:tc>
      </w:tr>
    </w:tbl>
    <w:p w:rsidR="009E7F44" w:rsidRDefault="009E7F44"/>
    <w:tbl>
      <w:tblPr>
        <w:tblW w:w="4967" w:type="pct"/>
        <w:tblInd w:w="108" w:type="dxa"/>
        <w:tblLook w:val="04A0"/>
      </w:tblPr>
      <w:tblGrid>
        <w:gridCol w:w="1039"/>
        <w:gridCol w:w="2756"/>
        <w:gridCol w:w="939"/>
        <w:gridCol w:w="4480"/>
        <w:gridCol w:w="1701"/>
      </w:tblGrid>
      <w:tr w:rsidR="009E7F44" w:rsidRPr="009E7F44" w:rsidTr="009E7F44">
        <w:trPr>
          <w:trHeight w:val="900"/>
        </w:trPr>
        <w:tc>
          <w:tcPr>
            <w:tcW w:w="1039"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Indikator</w:t>
            </w:r>
          </w:p>
        </w:tc>
        <w:tc>
          <w:tcPr>
            <w:tcW w:w="2756"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7120" w:type="dxa"/>
            <w:gridSpan w:val="3"/>
            <w:tcBorders>
              <w:top w:val="nil"/>
              <w:left w:val="nil"/>
              <w:bottom w:val="nil"/>
              <w:right w:val="nil"/>
            </w:tcBorders>
            <w:shd w:val="clear" w:color="auto" w:fill="auto"/>
            <w:vAlign w:val="center"/>
            <w:hideMark/>
          </w:tcPr>
          <w:p w:rsidR="009E7F44" w:rsidRPr="009E7F44" w:rsidRDefault="009E7F44" w:rsidP="009E7F44">
            <w:pPr>
              <w:spacing w:after="24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 c. Keberadaan dan komprehensiveness aturan yang mengatur perlindungan terhadap hak kelola hutan yang telah diberikan kepada masyarakat adat, masyarakat lokal dan bisnis</w:t>
            </w:r>
          </w:p>
        </w:tc>
      </w:tr>
      <w:tr w:rsidR="009E7F44" w:rsidRPr="009E7F44" w:rsidTr="009E7F44">
        <w:trPr>
          <w:trHeight w:val="390"/>
        </w:trPr>
        <w:tc>
          <w:tcPr>
            <w:tcW w:w="3795" w:type="dxa"/>
            <w:gridSpan w:val="2"/>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Sumber Data</w:t>
            </w:r>
          </w:p>
        </w:tc>
        <w:tc>
          <w:tcPr>
            <w:tcW w:w="7120" w:type="dxa"/>
            <w:gridSpan w:val="3"/>
            <w:tcBorders>
              <w:top w:val="nil"/>
              <w:left w:val="nil"/>
              <w:bottom w:val="single" w:sz="4" w:space="0" w:color="auto"/>
              <w:right w:val="nil"/>
            </w:tcBorders>
            <w:shd w:val="clear" w:color="auto" w:fill="auto"/>
            <w:vAlign w:val="center"/>
            <w:hideMark/>
          </w:tcPr>
          <w:p w:rsidR="009E7F44" w:rsidRPr="009E7F44" w:rsidRDefault="009E7F44" w:rsidP="009E7F44">
            <w:pPr>
              <w:spacing w:after="24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 UU, Permenhut, Perda</w:t>
            </w:r>
            <w:r w:rsidRPr="009E7F44">
              <w:rPr>
                <w:rFonts w:ascii="Times New Roman" w:eastAsia="Times New Roman" w:hAnsi="Times New Roman" w:cs="Times New Roman"/>
                <w:b/>
                <w:bCs/>
                <w:color w:val="000000"/>
                <w:sz w:val="20"/>
                <w:szCs w:val="20"/>
                <w:lang w:eastAsia="id-ID"/>
              </w:rPr>
              <w:br/>
            </w:r>
          </w:p>
        </w:tc>
      </w:tr>
      <w:tr w:rsidR="009E7F44" w:rsidRPr="009E7F44" w:rsidTr="009E7F44">
        <w:trPr>
          <w:trHeight w:val="255"/>
        </w:trPr>
        <w:tc>
          <w:tcPr>
            <w:tcW w:w="10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Kode</w:t>
            </w:r>
          </w:p>
        </w:tc>
        <w:tc>
          <w:tcPr>
            <w:tcW w:w="2756" w:type="dxa"/>
            <w:tcBorders>
              <w:top w:val="single" w:sz="4" w:space="0" w:color="auto"/>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Item Data</w:t>
            </w:r>
          </w:p>
        </w:tc>
        <w:tc>
          <w:tcPr>
            <w:tcW w:w="939"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Sumber Data</w:t>
            </w:r>
          </w:p>
        </w:tc>
        <w:tc>
          <w:tcPr>
            <w:tcW w:w="4480"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Sumber Dokumen Hukum dan Kebijakan</w:t>
            </w:r>
          </w:p>
        </w:tc>
        <w:tc>
          <w:tcPr>
            <w:tcW w:w="1701"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Kategori Data</w:t>
            </w:r>
          </w:p>
        </w:tc>
      </w:tr>
      <w:tr w:rsidR="009E7F44" w:rsidRPr="009E7F44" w:rsidTr="009E7F44">
        <w:trPr>
          <w:trHeight w:val="2295"/>
        </w:trPr>
        <w:tc>
          <w:tcPr>
            <w:tcW w:w="1039" w:type="dxa"/>
            <w:tcBorders>
              <w:top w:val="nil"/>
              <w:left w:val="single" w:sz="4" w:space="0" w:color="auto"/>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AIIc1</w:t>
            </w:r>
          </w:p>
        </w:tc>
        <w:tc>
          <w:tcPr>
            <w:tcW w:w="2756"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Sanksi/ancaman hukum bagi yang melakukan perambahan (di atas lahan bebas konflik)</w:t>
            </w:r>
          </w:p>
        </w:tc>
        <w:tc>
          <w:tcPr>
            <w:tcW w:w="939"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RTRWK</w:t>
            </w:r>
          </w:p>
        </w:tc>
        <w:tc>
          <w:tcPr>
            <w:tcW w:w="4480"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Bab 7 Naskah RTRWK Aceh Tenggara 2010-2030, Qanun No 1 Tahun 2010 Tentang RTRWK. Bab 7 naskah akedemik RTRWK menyebutkan bahwa : Sanksi merupakan instrumen pengendalian pemanfaatan ruang yang paling hilir. Dalam Penyusunan RTRW Kabupaten Aceh Tenggara yang dimaksud dengan “Arahan Sanksi” adalah arahan untuk memberikan sanksi bagi siapa saja yang melakukan pelanggaran pemanfaatan ruang yang tidak sesuai dengan rencana tata ruang yang berlaku.</w:t>
            </w:r>
          </w:p>
        </w:tc>
        <w:tc>
          <w:tcPr>
            <w:tcW w:w="1701"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4</w:t>
            </w:r>
          </w:p>
        </w:tc>
      </w:tr>
      <w:tr w:rsidR="009E7F44" w:rsidRPr="009E7F44" w:rsidTr="009E7F44">
        <w:trPr>
          <w:trHeight w:val="2040"/>
        </w:trPr>
        <w:tc>
          <w:tcPr>
            <w:tcW w:w="1039" w:type="dxa"/>
            <w:tcBorders>
              <w:top w:val="nil"/>
              <w:left w:val="single" w:sz="4" w:space="0" w:color="auto"/>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AIIc2</w:t>
            </w:r>
          </w:p>
        </w:tc>
        <w:tc>
          <w:tcPr>
            <w:tcW w:w="2756"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Sanksi/ancaman hukum bagi pejabat pemberi izin (di atas lahan yang telah memiliki hak)</w:t>
            </w:r>
          </w:p>
        </w:tc>
        <w:tc>
          <w:tcPr>
            <w:tcW w:w="939"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RTRWK</w:t>
            </w:r>
          </w:p>
        </w:tc>
        <w:tc>
          <w:tcPr>
            <w:tcW w:w="4480"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 xml:space="preserve">Bab 7 Naskah RTRWK Aceh Tenggara 2010-2030, Qanun No 1 Tahun 2010 Tentang RTRWK. Naskah akademik RTRWK menuebutan : Ketentuan pengenaan sanksi administratif ini dapat diatur lebih lanjut melalui Peraturan Bupati dan ketentuan lebih lanjut terkait pengenaan sanksi pidana dan sanksi perdata mengacu pada peraturan perundang-undangan terkait lainnya. Sanksi lebih banyak diarahkan kepada masyarakat tidak kepada pejabat pemberi izin. </w:t>
            </w:r>
          </w:p>
        </w:tc>
        <w:tc>
          <w:tcPr>
            <w:tcW w:w="1701"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2</w:t>
            </w:r>
          </w:p>
        </w:tc>
      </w:tr>
      <w:tr w:rsidR="009E7F44" w:rsidRPr="009E7F44" w:rsidTr="009E7F44">
        <w:trPr>
          <w:trHeight w:val="765"/>
        </w:trPr>
        <w:tc>
          <w:tcPr>
            <w:tcW w:w="1039" w:type="dxa"/>
            <w:tcBorders>
              <w:top w:val="nil"/>
              <w:left w:val="single" w:sz="4" w:space="0" w:color="auto"/>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AIIc3</w:t>
            </w:r>
          </w:p>
        </w:tc>
        <w:tc>
          <w:tcPr>
            <w:tcW w:w="2756"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Ganti rugi bagi pemegang hak yang dirugikan (mudah &amp; memadai)</w:t>
            </w:r>
          </w:p>
        </w:tc>
        <w:tc>
          <w:tcPr>
            <w:tcW w:w="939"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RTRWK</w:t>
            </w:r>
          </w:p>
        </w:tc>
        <w:tc>
          <w:tcPr>
            <w:tcW w:w="4480"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 xml:space="preserve">Berdasarkan dokumen yang dipelajari, tida ada pengaturan tentang ganti rugi atas pemegang hak yang dirugikan. </w:t>
            </w:r>
          </w:p>
        </w:tc>
        <w:tc>
          <w:tcPr>
            <w:tcW w:w="1701"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1</w:t>
            </w:r>
          </w:p>
        </w:tc>
      </w:tr>
    </w:tbl>
    <w:p w:rsidR="009E7F44" w:rsidRDefault="009E7F44"/>
    <w:tbl>
      <w:tblPr>
        <w:tblW w:w="4967" w:type="pct"/>
        <w:tblInd w:w="108" w:type="dxa"/>
        <w:tblLook w:val="04A0"/>
      </w:tblPr>
      <w:tblGrid>
        <w:gridCol w:w="1039"/>
        <w:gridCol w:w="2756"/>
        <w:gridCol w:w="1536"/>
        <w:gridCol w:w="3883"/>
        <w:gridCol w:w="1701"/>
      </w:tblGrid>
      <w:tr w:rsidR="009E7F44" w:rsidRPr="009E7F44" w:rsidTr="009E7F44">
        <w:trPr>
          <w:trHeight w:val="900"/>
        </w:trPr>
        <w:tc>
          <w:tcPr>
            <w:tcW w:w="1039"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lastRenderedPageBreak/>
              <w:t>Indikator</w:t>
            </w:r>
          </w:p>
        </w:tc>
        <w:tc>
          <w:tcPr>
            <w:tcW w:w="2756"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7120" w:type="dxa"/>
            <w:gridSpan w:val="3"/>
            <w:tcBorders>
              <w:top w:val="nil"/>
              <w:left w:val="nil"/>
              <w:bottom w:val="nil"/>
              <w:right w:val="nil"/>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 d. Keberadaan dan komprehensiveness aturan yang mengatur program peningkatan kapasitas masyarakat untuk mengakses hak pengelolaan hutan</w:t>
            </w:r>
          </w:p>
        </w:tc>
      </w:tr>
      <w:tr w:rsidR="009E7F44" w:rsidRPr="009E7F44" w:rsidTr="009E7F44">
        <w:trPr>
          <w:trHeight w:val="390"/>
        </w:trPr>
        <w:tc>
          <w:tcPr>
            <w:tcW w:w="3795" w:type="dxa"/>
            <w:gridSpan w:val="2"/>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Sumber Data</w:t>
            </w:r>
          </w:p>
        </w:tc>
        <w:tc>
          <w:tcPr>
            <w:tcW w:w="7120" w:type="dxa"/>
            <w:gridSpan w:val="3"/>
            <w:tcBorders>
              <w:top w:val="nil"/>
              <w:left w:val="nil"/>
              <w:bottom w:val="single" w:sz="4" w:space="0" w:color="auto"/>
              <w:right w:val="nil"/>
            </w:tcBorders>
            <w:shd w:val="clear" w:color="auto" w:fill="auto"/>
            <w:vAlign w:val="center"/>
            <w:hideMark/>
          </w:tcPr>
          <w:p w:rsidR="009E7F44" w:rsidRPr="009E7F44" w:rsidRDefault="009E7F44" w:rsidP="009E7F44">
            <w:pPr>
              <w:spacing w:after="24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 UU, Permenhut, Perda</w:t>
            </w:r>
            <w:r w:rsidRPr="009E7F44">
              <w:rPr>
                <w:rFonts w:ascii="Times New Roman" w:eastAsia="Times New Roman" w:hAnsi="Times New Roman" w:cs="Times New Roman"/>
                <w:b/>
                <w:bCs/>
                <w:color w:val="000000"/>
                <w:sz w:val="20"/>
                <w:szCs w:val="20"/>
                <w:lang w:eastAsia="id-ID"/>
              </w:rPr>
              <w:br/>
            </w:r>
          </w:p>
        </w:tc>
      </w:tr>
      <w:tr w:rsidR="009E7F44" w:rsidRPr="009E7F44" w:rsidTr="009E7F44">
        <w:trPr>
          <w:trHeight w:val="255"/>
        </w:trPr>
        <w:tc>
          <w:tcPr>
            <w:tcW w:w="10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Kode</w:t>
            </w:r>
          </w:p>
        </w:tc>
        <w:tc>
          <w:tcPr>
            <w:tcW w:w="2756" w:type="dxa"/>
            <w:tcBorders>
              <w:top w:val="single" w:sz="4" w:space="0" w:color="auto"/>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Item Data</w:t>
            </w:r>
          </w:p>
        </w:tc>
        <w:tc>
          <w:tcPr>
            <w:tcW w:w="1536"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Sumber Data</w:t>
            </w:r>
          </w:p>
        </w:tc>
        <w:tc>
          <w:tcPr>
            <w:tcW w:w="388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Sumber Dokumen Hukum dan Kebijakan</w:t>
            </w:r>
          </w:p>
        </w:tc>
        <w:tc>
          <w:tcPr>
            <w:tcW w:w="1701"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Kategori Data</w:t>
            </w:r>
          </w:p>
        </w:tc>
      </w:tr>
      <w:tr w:rsidR="009E7F44" w:rsidRPr="009E7F44" w:rsidTr="009E7F44">
        <w:trPr>
          <w:trHeight w:val="1020"/>
        </w:trPr>
        <w:tc>
          <w:tcPr>
            <w:tcW w:w="1039" w:type="dxa"/>
            <w:tcBorders>
              <w:top w:val="nil"/>
              <w:left w:val="single" w:sz="4" w:space="0" w:color="auto"/>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AIId1</w:t>
            </w:r>
          </w:p>
        </w:tc>
        <w:tc>
          <w:tcPr>
            <w:tcW w:w="2756"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Program peningkatan kapasitas masyarakat Adat/ Lokal untuk mengakses hak pengelolaan hutan</w:t>
            </w:r>
          </w:p>
        </w:tc>
        <w:tc>
          <w:tcPr>
            <w:tcW w:w="1536"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RTRWK</w:t>
            </w:r>
          </w:p>
        </w:tc>
        <w:tc>
          <w:tcPr>
            <w:tcW w:w="388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RTRWK Aceh Tenggara 2010-2030, Qanun No 1 Tahun 2010 Tentang RTRWK, RPJP Aceh Tenggara</w:t>
            </w:r>
          </w:p>
        </w:tc>
        <w:tc>
          <w:tcPr>
            <w:tcW w:w="1701"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2</w:t>
            </w:r>
          </w:p>
        </w:tc>
      </w:tr>
      <w:tr w:rsidR="009E7F44" w:rsidRPr="009E7F44" w:rsidTr="009E7F44">
        <w:trPr>
          <w:trHeight w:val="765"/>
        </w:trPr>
        <w:tc>
          <w:tcPr>
            <w:tcW w:w="1039" w:type="dxa"/>
            <w:tcBorders>
              <w:top w:val="nil"/>
              <w:left w:val="single" w:sz="4" w:space="0" w:color="auto"/>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AIId2</w:t>
            </w:r>
          </w:p>
        </w:tc>
        <w:tc>
          <w:tcPr>
            <w:tcW w:w="2756"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Program peningkatan kapasitas pemerintah (pada tingkatan) lebih rendah</w:t>
            </w:r>
          </w:p>
        </w:tc>
        <w:tc>
          <w:tcPr>
            <w:tcW w:w="1536"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RTRWK</w:t>
            </w:r>
          </w:p>
        </w:tc>
        <w:tc>
          <w:tcPr>
            <w:tcW w:w="388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RTRWK Aceh Tenggara 2010-2030, Qanun No 1 Tahun 2010 Tentang RTRWK</w:t>
            </w:r>
          </w:p>
        </w:tc>
        <w:tc>
          <w:tcPr>
            <w:tcW w:w="1701"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2</w:t>
            </w:r>
          </w:p>
        </w:tc>
      </w:tr>
      <w:tr w:rsidR="009E7F44" w:rsidRPr="009E7F44" w:rsidTr="009E7F44">
        <w:trPr>
          <w:trHeight w:val="765"/>
        </w:trPr>
        <w:tc>
          <w:tcPr>
            <w:tcW w:w="1039" w:type="dxa"/>
            <w:tcBorders>
              <w:top w:val="nil"/>
              <w:left w:val="single" w:sz="4" w:space="0" w:color="auto"/>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AIId3</w:t>
            </w:r>
          </w:p>
        </w:tc>
        <w:tc>
          <w:tcPr>
            <w:tcW w:w="2756"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Mekanisme mengakses anggaran peningkatan kapasitas bagi masyarakat Adat/Lokal</w:t>
            </w:r>
          </w:p>
        </w:tc>
        <w:tc>
          <w:tcPr>
            <w:tcW w:w="1536"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 </w:t>
            </w:r>
          </w:p>
        </w:tc>
        <w:tc>
          <w:tcPr>
            <w:tcW w:w="388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Tidak menemukan aturan atau regulasi yang relevan di tingkat Aceh Tenggara</w:t>
            </w:r>
          </w:p>
        </w:tc>
        <w:tc>
          <w:tcPr>
            <w:tcW w:w="1701"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1</w:t>
            </w:r>
          </w:p>
        </w:tc>
      </w:tr>
      <w:tr w:rsidR="009E7F44" w:rsidRPr="009E7F44" w:rsidTr="009E7F44">
        <w:trPr>
          <w:trHeight w:val="765"/>
        </w:trPr>
        <w:tc>
          <w:tcPr>
            <w:tcW w:w="1039" w:type="dxa"/>
            <w:tcBorders>
              <w:top w:val="nil"/>
              <w:left w:val="single" w:sz="4" w:space="0" w:color="auto"/>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AIId4</w:t>
            </w:r>
          </w:p>
        </w:tc>
        <w:tc>
          <w:tcPr>
            <w:tcW w:w="2756"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Program peningkatan kapasitas masyarakat dan Pemerintah Daerah secara partisipatif</w:t>
            </w:r>
          </w:p>
        </w:tc>
        <w:tc>
          <w:tcPr>
            <w:tcW w:w="1536"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RTRWK</w:t>
            </w:r>
          </w:p>
        </w:tc>
        <w:tc>
          <w:tcPr>
            <w:tcW w:w="388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RTRWK Aceh Tenggara 2010-2030, Qanun No 1 Tahun 2010 Tentang RTRWK</w:t>
            </w:r>
          </w:p>
        </w:tc>
        <w:tc>
          <w:tcPr>
            <w:tcW w:w="1701"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2</w:t>
            </w:r>
          </w:p>
        </w:tc>
      </w:tr>
    </w:tbl>
    <w:p w:rsidR="009E7F44" w:rsidRDefault="009E7F44"/>
    <w:tbl>
      <w:tblPr>
        <w:tblW w:w="4951" w:type="pct"/>
        <w:tblInd w:w="108" w:type="dxa"/>
        <w:tblLook w:val="04A0"/>
      </w:tblPr>
      <w:tblGrid>
        <w:gridCol w:w="1134"/>
        <w:gridCol w:w="2084"/>
        <w:gridCol w:w="1233"/>
        <w:gridCol w:w="4753"/>
        <w:gridCol w:w="1676"/>
      </w:tblGrid>
      <w:tr w:rsidR="009E7F44" w:rsidRPr="009E7F44" w:rsidTr="009E7F44">
        <w:trPr>
          <w:trHeight w:val="330"/>
        </w:trPr>
        <w:tc>
          <w:tcPr>
            <w:tcW w:w="3218" w:type="dxa"/>
            <w:gridSpan w:val="2"/>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Isu dalam PGA REDD+</w:t>
            </w:r>
          </w:p>
        </w:tc>
        <w:tc>
          <w:tcPr>
            <w:tcW w:w="5986" w:type="dxa"/>
            <w:gridSpan w:val="2"/>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  III. Pengorganisasian Hutan</w:t>
            </w:r>
          </w:p>
        </w:tc>
        <w:tc>
          <w:tcPr>
            <w:tcW w:w="1676"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p>
        </w:tc>
      </w:tr>
      <w:tr w:rsidR="009E7F44" w:rsidRPr="009E7F44" w:rsidTr="009E7F44">
        <w:trPr>
          <w:trHeight w:val="900"/>
        </w:trPr>
        <w:tc>
          <w:tcPr>
            <w:tcW w:w="1134"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Indikator</w:t>
            </w:r>
          </w:p>
        </w:tc>
        <w:tc>
          <w:tcPr>
            <w:tcW w:w="2084"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7662" w:type="dxa"/>
            <w:gridSpan w:val="3"/>
            <w:tcBorders>
              <w:top w:val="nil"/>
              <w:left w:val="nil"/>
              <w:bottom w:val="nil"/>
              <w:right w:val="nil"/>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 xml:space="preserve">: a. Keberadaan dan komprehensiveness aturan yang mengatur akuntablitas institusi pengelolaan hutan dan lahan gambut </w:t>
            </w:r>
          </w:p>
        </w:tc>
      </w:tr>
      <w:tr w:rsidR="009E7F44" w:rsidRPr="009E7F44" w:rsidTr="009E7F44">
        <w:trPr>
          <w:trHeight w:val="390"/>
        </w:trPr>
        <w:tc>
          <w:tcPr>
            <w:tcW w:w="3218" w:type="dxa"/>
            <w:gridSpan w:val="2"/>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Sumber Data</w:t>
            </w:r>
          </w:p>
        </w:tc>
        <w:tc>
          <w:tcPr>
            <w:tcW w:w="7662" w:type="dxa"/>
            <w:gridSpan w:val="3"/>
            <w:tcBorders>
              <w:top w:val="nil"/>
              <w:left w:val="nil"/>
              <w:bottom w:val="single" w:sz="4" w:space="0" w:color="auto"/>
              <w:right w:val="nil"/>
            </w:tcBorders>
            <w:shd w:val="clear" w:color="auto" w:fill="auto"/>
            <w:vAlign w:val="center"/>
            <w:hideMark/>
          </w:tcPr>
          <w:p w:rsidR="009E7F44" w:rsidRPr="009E7F44" w:rsidRDefault="009E7F44" w:rsidP="009E7F44">
            <w:pPr>
              <w:spacing w:after="24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 UU, Permenhut</w:t>
            </w:r>
            <w:r w:rsidRPr="009E7F44">
              <w:rPr>
                <w:rFonts w:ascii="Times New Roman" w:eastAsia="Times New Roman" w:hAnsi="Times New Roman" w:cs="Times New Roman"/>
                <w:b/>
                <w:bCs/>
                <w:color w:val="000000"/>
                <w:sz w:val="20"/>
                <w:szCs w:val="20"/>
                <w:lang w:eastAsia="id-ID"/>
              </w:rPr>
              <w:br/>
            </w:r>
          </w:p>
        </w:tc>
      </w:tr>
      <w:tr w:rsidR="009E7F44" w:rsidRPr="009E7F44" w:rsidTr="009E7F44">
        <w:trPr>
          <w:trHeight w:val="255"/>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Kode</w:t>
            </w:r>
          </w:p>
        </w:tc>
        <w:tc>
          <w:tcPr>
            <w:tcW w:w="2084" w:type="dxa"/>
            <w:tcBorders>
              <w:top w:val="single" w:sz="4" w:space="0" w:color="auto"/>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Item Data</w:t>
            </w:r>
          </w:p>
        </w:tc>
        <w:tc>
          <w:tcPr>
            <w:tcW w:w="123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Sumber Data</w:t>
            </w:r>
          </w:p>
        </w:tc>
        <w:tc>
          <w:tcPr>
            <w:tcW w:w="475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Sumber Dokumen Hukum dan Kebijakan</w:t>
            </w:r>
          </w:p>
        </w:tc>
        <w:tc>
          <w:tcPr>
            <w:tcW w:w="1676"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Kategori Data</w:t>
            </w:r>
          </w:p>
        </w:tc>
      </w:tr>
      <w:tr w:rsidR="009E7F44" w:rsidRPr="009E7F44" w:rsidTr="009E7F44">
        <w:trPr>
          <w:trHeight w:val="102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AIIIa1</w:t>
            </w:r>
          </w:p>
        </w:tc>
        <w:tc>
          <w:tcPr>
            <w:tcW w:w="2084"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Kejelasan tugas &amp; wewenang pengelolaan hutan &amp; lahan gambut</w:t>
            </w:r>
          </w:p>
        </w:tc>
        <w:tc>
          <w:tcPr>
            <w:tcW w:w="123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RTRWK</w:t>
            </w:r>
          </w:p>
        </w:tc>
        <w:tc>
          <w:tcPr>
            <w:tcW w:w="475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Qanun No 1 Tahun 2008 tentang Susunan Organisasi dan Satuan Kerja Perangkat Daerah, Qanun No 27 Tentang Perubahan Qanun No 1 Tahun 2008, RTRWK Aceh Tenggara 2010-2030</w:t>
            </w:r>
          </w:p>
        </w:tc>
        <w:tc>
          <w:tcPr>
            <w:tcW w:w="1676"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3</w:t>
            </w:r>
          </w:p>
        </w:tc>
      </w:tr>
      <w:tr w:rsidR="009E7F44" w:rsidRPr="009E7F44" w:rsidTr="009E7F44">
        <w:trPr>
          <w:trHeight w:val="1275"/>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AIIIa2</w:t>
            </w:r>
          </w:p>
        </w:tc>
        <w:tc>
          <w:tcPr>
            <w:tcW w:w="2084"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Transparansi output tahunan dan capaian institusi</w:t>
            </w:r>
          </w:p>
        </w:tc>
        <w:tc>
          <w:tcPr>
            <w:tcW w:w="123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RPJM &amp; PRJK</w:t>
            </w:r>
          </w:p>
        </w:tc>
        <w:tc>
          <w:tcPr>
            <w:tcW w:w="475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 xml:space="preserve">RPJM dan PRJK Kabupaten Aceh Tenggara.  Dalam RPJM halaman 70 disebutkan bahwa : c. Menciptakan kebijakan dan melakukan kerjasama dengan pengelola dan donatur TNGL (seperti Yayasan Leuser Intemasional/YLI) untuk memberdayakan masyarakat di sekitar TNGL. </w:t>
            </w:r>
          </w:p>
        </w:tc>
        <w:tc>
          <w:tcPr>
            <w:tcW w:w="1676"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2</w:t>
            </w:r>
          </w:p>
        </w:tc>
      </w:tr>
      <w:tr w:rsidR="009E7F44" w:rsidRPr="009E7F44" w:rsidTr="009E7F44">
        <w:trPr>
          <w:trHeight w:val="102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AIIIa3</w:t>
            </w:r>
          </w:p>
        </w:tc>
        <w:tc>
          <w:tcPr>
            <w:tcW w:w="2084"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Anggaran berbasis kinerja (Budget based on performance)</w:t>
            </w:r>
          </w:p>
        </w:tc>
        <w:tc>
          <w:tcPr>
            <w:tcW w:w="1233"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 </w:t>
            </w:r>
          </w:p>
        </w:tc>
        <w:tc>
          <w:tcPr>
            <w:tcW w:w="475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Tidak didapatkan data yang relevan, tetapi berdasarkan pembicaraan dengan informan dari pemda (Kabid Dinas Kehutanan) ditemukan informasi tentang penerapan anggaran berbasis kinera</w:t>
            </w:r>
          </w:p>
        </w:tc>
        <w:tc>
          <w:tcPr>
            <w:tcW w:w="1676"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1</w:t>
            </w:r>
          </w:p>
        </w:tc>
      </w:tr>
      <w:tr w:rsidR="009E7F44" w:rsidRPr="009E7F44" w:rsidTr="009E7F44">
        <w:trPr>
          <w:trHeight w:val="2805"/>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AIIIa4</w:t>
            </w:r>
          </w:p>
        </w:tc>
        <w:tc>
          <w:tcPr>
            <w:tcW w:w="2084"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Desentralisasi (tugas &amp; wewenang) ke tingkat yang lebih rendah (disertai prinsip transparansi &amp; partisipasi)</w:t>
            </w:r>
          </w:p>
        </w:tc>
        <w:tc>
          <w:tcPr>
            <w:tcW w:w="123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RTRWK</w:t>
            </w:r>
          </w:p>
        </w:tc>
        <w:tc>
          <w:tcPr>
            <w:tcW w:w="475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 xml:space="preserve">Qanun No 1 Tahun 2008 tentang Susunan Organisasi dan Satuan Kerja Perangkat Daerah, Qanun No 27 Tentang Perubahan Qanun No 1 Tahun 2008, RTRWK Aceh Tenggara 2010-2030. Dalam RPJM disebutkan bahwa sasaran yang henadak dicapai dalam perencanaan pengelolaan kehutanan salah satunya adalah : Terlaksananya Otonomi Desa. Sesuai dengan Undang-Undang Nomor 32 Tahun 2005 tentang Pemerintahan Daerah, otonomi desa harus dilaksanakan sehingga memberikan kesempatan kepada masyarakat untuk berpartisipasi langsung dalam pengelolaan dan pelaksanaan pembangunan desa. </w:t>
            </w:r>
          </w:p>
        </w:tc>
        <w:tc>
          <w:tcPr>
            <w:tcW w:w="1676"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3</w:t>
            </w:r>
          </w:p>
        </w:tc>
      </w:tr>
      <w:tr w:rsidR="009E7F44" w:rsidRPr="009E7F44" w:rsidTr="009E7F44">
        <w:trPr>
          <w:trHeight w:val="255"/>
        </w:trPr>
        <w:tc>
          <w:tcPr>
            <w:tcW w:w="1134"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2084"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1233"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4753"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1676"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p>
        </w:tc>
      </w:tr>
      <w:tr w:rsidR="009E7F44" w:rsidRPr="009E7F44" w:rsidTr="009E7F44">
        <w:trPr>
          <w:trHeight w:val="900"/>
        </w:trPr>
        <w:tc>
          <w:tcPr>
            <w:tcW w:w="1134"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Indikator</w:t>
            </w:r>
          </w:p>
        </w:tc>
        <w:tc>
          <w:tcPr>
            <w:tcW w:w="2084"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7662" w:type="dxa"/>
            <w:gridSpan w:val="3"/>
            <w:tcBorders>
              <w:top w:val="nil"/>
              <w:left w:val="nil"/>
              <w:bottom w:val="nil"/>
              <w:right w:val="nil"/>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 xml:space="preserve">: b. Keberadaan dan komprehensiveness aturan yang mengatur harmonisasi hukum dan kebijakan terkait dengan hutan dan lahan gambut </w:t>
            </w:r>
          </w:p>
        </w:tc>
      </w:tr>
      <w:tr w:rsidR="009E7F44" w:rsidRPr="009E7F44" w:rsidTr="009E7F44">
        <w:trPr>
          <w:trHeight w:val="390"/>
        </w:trPr>
        <w:tc>
          <w:tcPr>
            <w:tcW w:w="3218" w:type="dxa"/>
            <w:gridSpan w:val="2"/>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Sumber Data</w:t>
            </w:r>
          </w:p>
        </w:tc>
        <w:tc>
          <w:tcPr>
            <w:tcW w:w="7662" w:type="dxa"/>
            <w:gridSpan w:val="3"/>
            <w:tcBorders>
              <w:top w:val="nil"/>
              <w:left w:val="nil"/>
              <w:bottom w:val="single" w:sz="4" w:space="0" w:color="auto"/>
              <w:right w:val="nil"/>
            </w:tcBorders>
            <w:shd w:val="clear" w:color="auto" w:fill="auto"/>
            <w:vAlign w:val="center"/>
            <w:hideMark/>
          </w:tcPr>
          <w:p w:rsidR="009E7F44" w:rsidRPr="009E7F44" w:rsidRDefault="009E7F44" w:rsidP="009E7F44">
            <w:pPr>
              <w:spacing w:after="24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:(permenkum-ham) Cek dibiro hukum prov/kab</w:t>
            </w:r>
            <w:r w:rsidRPr="009E7F44">
              <w:rPr>
                <w:rFonts w:ascii="Times New Roman" w:eastAsia="Times New Roman" w:hAnsi="Times New Roman" w:cs="Times New Roman"/>
                <w:b/>
                <w:bCs/>
                <w:color w:val="000000"/>
                <w:sz w:val="20"/>
                <w:szCs w:val="20"/>
                <w:lang w:eastAsia="id-ID"/>
              </w:rPr>
              <w:br/>
            </w:r>
          </w:p>
        </w:tc>
      </w:tr>
      <w:tr w:rsidR="009E7F44" w:rsidRPr="009E7F44" w:rsidTr="009E7F44">
        <w:trPr>
          <w:trHeight w:val="255"/>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Kode</w:t>
            </w:r>
          </w:p>
        </w:tc>
        <w:tc>
          <w:tcPr>
            <w:tcW w:w="2084" w:type="dxa"/>
            <w:tcBorders>
              <w:top w:val="single" w:sz="4" w:space="0" w:color="auto"/>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Item Data</w:t>
            </w:r>
          </w:p>
        </w:tc>
        <w:tc>
          <w:tcPr>
            <w:tcW w:w="123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Sumber Data</w:t>
            </w:r>
          </w:p>
        </w:tc>
        <w:tc>
          <w:tcPr>
            <w:tcW w:w="475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Sumber Dokumen Hukum dan Kebijakan</w:t>
            </w:r>
          </w:p>
        </w:tc>
        <w:tc>
          <w:tcPr>
            <w:tcW w:w="1676"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Kategori Data</w:t>
            </w:r>
          </w:p>
        </w:tc>
      </w:tr>
      <w:tr w:rsidR="009E7F44" w:rsidRPr="009E7F44" w:rsidTr="009E7F44">
        <w:trPr>
          <w:trHeight w:val="51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AIIIb1</w:t>
            </w:r>
          </w:p>
        </w:tc>
        <w:tc>
          <w:tcPr>
            <w:tcW w:w="2084"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Kejelasan lembaga yang bertanggung jawab</w:t>
            </w:r>
          </w:p>
        </w:tc>
        <w:tc>
          <w:tcPr>
            <w:tcW w:w="123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 </w:t>
            </w:r>
          </w:p>
        </w:tc>
        <w:tc>
          <w:tcPr>
            <w:tcW w:w="4753"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Tidak ditemukan aturan yang relevan</w:t>
            </w:r>
          </w:p>
        </w:tc>
        <w:tc>
          <w:tcPr>
            <w:tcW w:w="1676"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1</w:t>
            </w:r>
          </w:p>
        </w:tc>
      </w:tr>
      <w:tr w:rsidR="009E7F44" w:rsidRPr="009E7F44" w:rsidTr="009E7F44">
        <w:trPr>
          <w:trHeight w:val="51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AIIIb2</w:t>
            </w:r>
          </w:p>
        </w:tc>
        <w:tc>
          <w:tcPr>
            <w:tcW w:w="2084"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Mekanisme harmonisasi aturan sebelum diundangkan</w:t>
            </w:r>
          </w:p>
        </w:tc>
        <w:tc>
          <w:tcPr>
            <w:tcW w:w="123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 </w:t>
            </w:r>
          </w:p>
        </w:tc>
        <w:tc>
          <w:tcPr>
            <w:tcW w:w="4753"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Tidak ditemukan aturan yang relevan</w:t>
            </w:r>
          </w:p>
        </w:tc>
        <w:tc>
          <w:tcPr>
            <w:tcW w:w="1676"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1</w:t>
            </w:r>
          </w:p>
        </w:tc>
      </w:tr>
      <w:tr w:rsidR="009E7F44" w:rsidRPr="009E7F44" w:rsidTr="009E7F44">
        <w:trPr>
          <w:trHeight w:val="255"/>
        </w:trPr>
        <w:tc>
          <w:tcPr>
            <w:tcW w:w="1134"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2084"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1233"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4753"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1676"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p>
        </w:tc>
      </w:tr>
      <w:tr w:rsidR="009E7F44" w:rsidRPr="009E7F44" w:rsidTr="009E7F44">
        <w:trPr>
          <w:trHeight w:val="900"/>
        </w:trPr>
        <w:tc>
          <w:tcPr>
            <w:tcW w:w="1134"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Indikator</w:t>
            </w:r>
          </w:p>
        </w:tc>
        <w:tc>
          <w:tcPr>
            <w:tcW w:w="2084"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7662" w:type="dxa"/>
            <w:gridSpan w:val="3"/>
            <w:tcBorders>
              <w:top w:val="nil"/>
              <w:left w:val="nil"/>
              <w:bottom w:val="nil"/>
              <w:right w:val="nil"/>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 xml:space="preserve">: c. Keberadaan dan komprehensiveness aturan yang mengatur pertimbangan integritas dan keahlian dalam posisi strategis di institusi yang bertanggungjawab terhadap kehutanan dan lahan gambut </w:t>
            </w:r>
          </w:p>
        </w:tc>
      </w:tr>
      <w:tr w:rsidR="009E7F44" w:rsidRPr="009E7F44" w:rsidTr="009E7F44">
        <w:trPr>
          <w:trHeight w:val="390"/>
        </w:trPr>
        <w:tc>
          <w:tcPr>
            <w:tcW w:w="3218" w:type="dxa"/>
            <w:gridSpan w:val="2"/>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Sumber Data</w:t>
            </w:r>
          </w:p>
        </w:tc>
        <w:tc>
          <w:tcPr>
            <w:tcW w:w="7662" w:type="dxa"/>
            <w:gridSpan w:val="3"/>
            <w:tcBorders>
              <w:top w:val="nil"/>
              <w:left w:val="nil"/>
              <w:bottom w:val="single" w:sz="4" w:space="0" w:color="auto"/>
              <w:right w:val="nil"/>
            </w:tcBorders>
            <w:shd w:val="clear" w:color="auto" w:fill="auto"/>
            <w:vAlign w:val="center"/>
            <w:hideMark/>
          </w:tcPr>
          <w:p w:rsidR="009E7F44" w:rsidRPr="009E7F44" w:rsidRDefault="009E7F44" w:rsidP="009E7F44">
            <w:pPr>
              <w:spacing w:after="24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 permenpan/SK Gub/Bup/Inpres 5/2004</w:t>
            </w:r>
            <w:r w:rsidRPr="009E7F44">
              <w:rPr>
                <w:rFonts w:ascii="Times New Roman" w:eastAsia="Times New Roman" w:hAnsi="Times New Roman" w:cs="Times New Roman"/>
                <w:b/>
                <w:bCs/>
                <w:color w:val="000000"/>
                <w:sz w:val="20"/>
                <w:szCs w:val="20"/>
                <w:lang w:eastAsia="id-ID"/>
              </w:rPr>
              <w:br/>
            </w:r>
          </w:p>
        </w:tc>
      </w:tr>
      <w:tr w:rsidR="009E7F44" w:rsidRPr="009E7F44" w:rsidTr="009E7F44">
        <w:trPr>
          <w:trHeight w:val="255"/>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Kode</w:t>
            </w:r>
          </w:p>
        </w:tc>
        <w:tc>
          <w:tcPr>
            <w:tcW w:w="2084" w:type="dxa"/>
            <w:tcBorders>
              <w:top w:val="single" w:sz="4" w:space="0" w:color="auto"/>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Item Data</w:t>
            </w:r>
          </w:p>
        </w:tc>
        <w:tc>
          <w:tcPr>
            <w:tcW w:w="123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Sumber Data</w:t>
            </w:r>
          </w:p>
        </w:tc>
        <w:tc>
          <w:tcPr>
            <w:tcW w:w="475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Sumber Dokumen Hukum dan Kebijakan</w:t>
            </w:r>
          </w:p>
        </w:tc>
        <w:tc>
          <w:tcPr>
            <w:tcW w:w="1676"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Kategori Data</w:t>
            </w:r>
          </w:p>
        </w:tc>
      </w:tr>
      <w:tr w:rsidR="009E7F44" w:rsidRPr="009E7F44" w:rsidTr="009E7F44">
        <w:trPr>
          <w:trHeight w:val="51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AIIIc1</w:t>
            </w:r>
          </w:p>
        </w:tc>
        <w:tc>
          <w:tcPr>
            <w:tcW w:w="2084"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Keterbukaan proses pengisian posisi strategis</w:t>
            </w:r>
          </w:p>
        </w:tc>
        <w:tc>
          <w:tcPr>
            <w:tcW w:w="123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 </w:t>
            </w:r>
          </w:p>
        </w:tc>
        <w:tc>
          <w:tcPr>
            <w:tcW w:w="4753"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Tidak ditemukan aturan yang relevan</w:t>
            </w:r>
          </w:p>
        </w:tc>
        <w:tc>
          <w:tcPr>
            <w:tcW w:w="1676"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1</w:t>
            </w:r>
          </w:p>
        </w:tc>
      </w:tr>
      <w:tr w:rsidR="009E7F44" w:rsidRPr="009E7F44" w:rsidTr="009E7F44">
        <w:trPr>
          <w:trHeight w:val="765"/>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AIIIc2</w:t>
            </w:r>
          </w:p>
        </w:tc>
        <w:tc>
          <w:tcPr>
            <w:tcW w:w="2084"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Penilaian pihak ketiga (independen) dalam proses pemilihan SDM</w:t>
            </w:r>
          </w:p>
        </w:tc>
        <w:tc>
          <w:tcPr>
            <w:tcW w:w="123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 </w:t>
            </w:r>
          </w:p>
        </w:tc>
        <w:tc>
          <w:tcPr>
            <w:tcW w:w="4753"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Tidak ditemukan aturan yang relevan</w:t>
            </w:r>
          </w:p>
        </w:tc>
        <w:tc>
          <w:tcPr>
            <w:tcW w:w="1676"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1</w:t>
            </w:r>
          </w:p>
        </w:tc>
      </w:tr>
      <w:tr w:rsidR="009E7F44" w:rsidRPr="009E7F44" w:rsidTr="009E7F44">
        <w:trPr>
          <w:trHeight w:val="765"/>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AIIIc3</w:t>
            </w:r>
          </w:p>
        </w:tc>
        <w:tc>
          <w:tcPr>
            <w:tcW w:w="2084"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 xml:space="preserve">Life style checking dan kewajaran harta dengan bantuan PPATK </w:t>
            </w:r>
          </w:p>
        </w:tc>
        <w:tc>
          <w:tcPr>
            <w:tcW w:w="123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 </w:t>
            </w:r>
          </w:p>
        </w:tc>
        <w:tc>
          <w:tcPr>
            <w:tcW w:w="4753"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Tidak ditemukan aturan yang relevan</w:t>
            </w:r>
          </w:p>
        </w:tc>
        <w:tc>
          <w:tcPr>
            <w:tcW w:w="1676"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1</w:t>
            </w:r>
          </w:p>
        </w:tc>
      </w:tr>
      <w:tr w:rsidR="009E7F44" w:rsidRPr="009E7F44" w:rsidTr="009E7F44">
        <w:trPr>
          <w:trHeight w:val="51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AIIIc4</w:t>
            </w:r>
          </w:p>
        </w:tc>
        <w:tc>
          <w:tcPr>
            <w:tcW w:w="2084"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Kewajiban verifikasi LHKPN dengan bantuan KPK</w:t>
            </w:r>
          </w:p>
        </w:tc>
        <w:tc>
          <w:tcPr>
            <w:tcW w:w="123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 </w:t>
            </w:r>
          </w:p>
        </w:tc>
        <w:tc>
          <w:tcPr>
            <w:tcW w:w="4753"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Tidak ditemukan aturan yang relevan</w:t>
            </w:r>
          </w:p>
        </w:tc>
        <w:tc>
          <w:tcPr>
            <w:tcW w:w="1676"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1</w:t>
            </w:r>
          </w:p>
        </w:tc>
      </w:tr>
      <w:tr w:rsidR="009E7F44" w:rsidRPr="009E7F44" w:rsidTr="009E7F44">
        <w:trPr>
          <w:trHeight w:val="765"/>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AIIIc5</w:t>
            </w:r>
          </w:p>
        </w:tc>
        <w:tc>
          <w:tcPr>
            <w:tcW w:w="2084"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Batasan Conflict of Interest &amp; mekanisme yang harus dilakukan</w:t>
            </w:r>
          </w:p>
        </w:tc>
        <w:tc>
          <w:tcPr>
            <w:tcW w:w="123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 </w:t>
            </w:r>
          </w:p>
        </w:tc>
        <w:tc>
          <w:tcPr>
            <w:tcW w:w="4753"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Tidak ditemukan aturan yang relevan</w:t>
            </w:r>
          </w:p>
        </w:tc>
        <w:tc>
          <w:tcPr>
            <w:tcW w:w="1676"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1</w:t>
            </w:r>
          </w:p>
        </w:tc>
      </w:tr>
      <w:tr w:rsidR="009E7F44" w:rsidRPr="009E7F44" w:rsidTr="009E7F44">
        <w:trPr>
          <w:trHeight w:val="765"/>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AIIIc6</w:t>
            </w:r>
          </w:p>
        </w:tc>
        <w:tc>
          <w:tcPr>
            <w:tcW w:w="2084"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Pembuatan pakta integritas, pemenuhan kode etik dan kontrak kinerja</w:t>
            </w:r>
          </w:p>
        </w:tc>
        <w:tc>
          <w:tcPr>
            <w:tcW w:w="123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 </w:t>
            </w:r>
          </w:p>
        </w:tc>
        <w:tc>
          <w:tcPr>
            <w:tcW w:w="4753"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Tidak ditemukan aturan yang relevan</w:t>
            </w:r>
          </w:p>
        </w:tc>
        <w:tc>
          <w:tcPr>
            <w:tcW w:w="1676"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1</w:t>
            </w:r>
          </w:p>
        </w:tc>
      </w:tr>
      <w:tr w:rsidR="009E7F44" w:rsidRPr="009E7F44" w:rsidTr="009E7F44">
        <w:trPr>
          <w:trHeight w:val="255"/>
        </w:trPr>
        <w:tc>
          <w:tcPr>
            <w:tcW w:w="1134"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2084"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1233"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4753"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1676"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p>
        </w:tc>
      </w:tr>
      <w:tr w:rsidR="009E7F44" w:rsidRPr="009E7F44" w:rsidTr="009E7F44">
        <w:trPr>
          <w:trHeight w:val="900"/>
        </w:trPr>
        <w:tc>
          <w:tcPr>
            <w:tcW w:w="1134"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Indikator</w:t>
            </w:r>
          </w:p>
        </w:tc>
        <w:tc>
          <w:tcPr>
            <w:tcW w:w="2084"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7662" w:type="dxa"/>
            <w:gridSpan w:val="3"/>
            <w:tcBorders>
              <w:top w:val="nil"/>
              <w:left w:val="nil"/>
              <w:bottom w:val="nil"/>
              <w:right w:val="nil"/>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 d. Keberadaan dan komprehensiveness aturan yang mengatur pelaksanaan penegakan hukum dalam pengelolaan hutan dan lahan gambut di tingkat Nasional/Propinsi/Kab secara efektif dan efisien serta tidak rentan korupsi</w:t>
            </w:r>
          </w:p>
        </w:tc>
      </w:tr>
      <w:tr w:rsidR="009E7F44" w:rsidRPr="009E7F44" w:rsidTr="009E7F44">
        <w:trPr>
          <w:trHeight w:val="630"/>
        </w:trPr>
        <w:tc>
          <w:tcPr>
            <w:tcW w:w="3218" w:type="dxa"/>
            <w:gridSpan w:val="2"/>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Sumber Data</w:t>
            </w:r>
          </w:p>
        </w:tc>
        <w:tc>
          <w:tcPr>
            <w:tcW w:w="7662" w:type="dxa"/>
            <w:gridSpan w:val="3"/>
            <w:tcBorders>
              <w:top w:val="nil"/>
              <w:left w:val="nil"/>
              <w:bottom w:val="single" w:sz="4" w:space="0" w:color="auto"/>
              <w:right w:val="nil"/>
            </w:tcBorders>
            <w:shd w:val="clear" w:color="auto" w:fill="auto"/>
            <w:vAlign w:val="center"/>
            <w:hideMark/>
          </w:tcPr>
          <w:p w:rsidR="009E7F44" w:rsidRPr="009E7F44" w:rsidRDefault="009E7F44" w:rsidP="009E7F44">
            <w:pPr>
              <w:spacing w:after="24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 terkait dengan aturan lain, SK kemenhut/ kejaksaan/Kehakiman/KPK/PPATK, Kemenkeu</w:t>
            </w:r>
            <w:r w:rsidRPr="009E7F44">
              <w:rPr>
                <w:rFonts w:ascii="Times New Roman" w:eastAsia="Times New Roman" w:hAnsi="Times New Roman" w:cs="Times New Roman"/>
                <w:b/>
                <w:bCs/>
                <w:color w:val="000000"/>
                <w:sz w:val="20"/>
                <w:szCs w:val="20"/>
                <w:lang w:eastAsia="id-ID"/>
              </w:rPr>
              <w:br/>
            </w:r>
          </w:p>
        </w:tc>
      </w:tr>
      <w:tr w:rsidR="009E7F44" w:rsidRPr="009E7F44" w:rsidTr="009E7F44">
        <w:trPr>
          <w:trHeight w:val="255"/>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Kode</w:t>
            </w:r>
          </w:p>
        </w:tc>
        <w:tc>
          <w:tcPr>
            <w:tcW w:w="2084" w:type="dxa"/>
            <w:tcBorders>
              <w:top w:val="single" w:sz="4" w:space="0" w:color="auto"/>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Item Data</w:t>
            </w:r>
          </w:p>
        </w:tc>
        <w:tc>
          <w:tcPr>
            <w:tcW w:w="123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Sumber Data</w:t>
            </w:r>
          </w:p>
        </w:tc>
        <w:tc>
          <w:tcPr>
            <w:tcW w:w="475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Sumber Dokumen Hukum dan Kebijakan</w:t>
            </w:r>
          </w:p>
        </w:tc>
        <w:tc>
          <w:tcPr>
            <w:tcW w:w="1676"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Kategori Data</w:t>
            </w:r>
          </w:p>
        </w:tc>
      </w:tr>
      <w:tr w:rsidR="009E7F44" w:rsidRPr="009E7F44" w:rsidTr="009E7F44">
        <w:trPr>
          <w:trHeight w:val="765"/>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AIIId1</w:t>
            </w:r>
          </w:p>
        </w:tc>
        <w:tc>
          <w:tcPr>
            <w:tcW w:w="2084"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Pembenahan case manage-ment sehingga menutup celah-celah abuse of power</w:t>
            </w:r>
          </w:p>
        </w:tc>
        <w:tc>
          <w:tcPr>
            <w:tcW w:w="123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 </w:t>
            </w:r>
          </w:p>
        </w:tc>
        <w:tc>
          <w:tcPr>
            <w:tcW w:w="4753"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Tidak ditemukan aturan yang relevan</w:t>
            </w:r>
          </w:p>
        </w:tc>
        <w:tc>
          <w:tcPr>
            <w:tcW w:w="1676"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1</w:t>
            </w:r>
          </w:p>
        </w:tc>
      </w:tr>
      <w:tr w:rsidR="009E7F44" w:rsidRPr="009E7F44" w:rsidTr="009E7F44">
        <w:trPr>
          <w:trHeight w:val="765"/>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lastRenderedPageBreak/>
              <w:t>AIIId2</w:t>
            </w:r>
          </w:p>
        </w:tc>
        <w:tc>
          <w:tcPr>
            <w:tcW w:w="2084"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Sistem pengawasan dan pen-disiplinan internal di lembaga penegak hukum</w:t>
            </w:r>
          </w:p>
        </w:tc>
        <w:tc>
          <w:tcPr>
            <w:tcW w:w="1233"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 </w:t>
            </w:r>
          </w:p>
        </w:tc>
        <w:tc>
          <w:tcPr>
            <w:tcW w:w="4753"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Tidak ditemukan aturan yang relevan</w:t>
            </w:r>
          </w:p>
        </w:tc>
        <w:tc>
          <w:tcPr>
            <w:tcW w:w="1676"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1</w:t>
            </w:r>
          </w:p>
        </w:tc>
      </w:tr>
      <w:tr w:rsidR="009E7F44" w:rsidRPr="009E7F44" w:rsidTr="009E7F44">
        <w:trPr>
          <w:trHeight w:val="2805"/>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AIIId3</w:t>
            </w:r>
          </w:p>
        </w:tc>
        <w:tc>
          <w:tcPr>
            <w:tcW w:w="2084"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Peningkatan kapasitas aparat penegak hukum terkait isu-isu pengelolaan hutan dan lahan gambut secara lestari, kebijak-an Negara atas masyarakat adat, serta pemanfaatan instru-ment hukum lain seperti pajak, korupsi, dan anti pencucian uang untuk memberantas kejahatan kehutanan (multi-door approach);</w:t>
            </w:r>
          </w:p>
        </w:tc>
        <w:tc>
          <w:tcPr>
            <w:tcW w:w="1233"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 </w:t>
            </w:r>
          </w:p>
        </w:tc>
        <w:tc>
          <w:tcPr>
            <w:tcW w:w="4753"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Tidak ditemukan aturan yang relevan</w:t>
            </w:r>
          </w:p>
        </w:tc>
        <w:tc>
          <w:tcPr>
            <w:tcW w:w="1676"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1</w:t>
            </w:r>
          </w:p>
        </w:tc>
      </w:tr>
      <w:tr w:rsidR="009E7F44" w:rsidRPr="009E7F44" w:rsidTr="009E7F44">
        <w:trPr>
          <w:trHeight w:val="1275"/>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AIIId4</w:t>
            </w:r>
          </w:p>
        </w:tc>
        <w:tc>
          <w:tcPr>
            <w:tcW w:w="2084"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Kewajiban koordinasi yang efektif antara aparat penegak hukum terkait dalam isu hutan dan lahan gambut dan penun-jukan leading sector yang jelas</w:t>
            </w:r>
          </w:p>
        </w:tc>
        <w:tc>
          <w:tcPr>
            <w:tcW w:w="1233"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 </w:t>
            </w:r>
          </w:p>
        </w:tc>
        <w:tc>
          <w:tcPr>
            <w:tcW w:w="4753"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Tidak ditemukan aturan yang relevan</w:t>
            </w:r>
          </w:p>
        </w:tc>
        <w:tc>
          <w:tcPr>
            <w:tcW w:w="1676"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1</w:t>
            </w:r>
          </w:p>
        </w:tc>
      </w:tr>
      <w:tr w:rsidR="009E7F44" w:rsidRPr="009E7F44" w:rsidTr="009E7F44">
        <w:trPr>
          <w:trHeight w:val="765"/>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AIIId5</w:t>
            </w:r>
          </w:p>
        </w:tc>
        <w:tc>
          <w:tcPr>
            <w:tcW w:w="2084"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Pemenuhan rasio jumlah penegak hukum di bidang kehutanan dan lahan gambut</w:t>
            </w:r>
          </w:p>
        </w:tc>
        <w:tc>
          <w:tcPr>
            <w:tcW w:w="1233"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 </w:t>
            </w:r>
          </w:p>
        </w:tc>
        <w:tc>
          <w:tcPr>
            <w:tcW w:w="4753"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Tidak ditemukan aturan yang relevan</w:t>
            </w:r>
          </w:p>
        </w:tc>
        <w:tc>
          <w:tcPr>
            <w:tcW w:w="1676"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1</w:t>
            </w:r>
          </w:p>
        </w:tc>
      </w:tr>
      <w:tr w:rsidR="009E7F44" w:rsidRPr="009E7F44" w:rsidTr="009E7F44">
        <w:trPr>
          <w:trHeight w:val="765"/>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AIIId6</w:t>
            </w:r>
          </w:p>
        </w:tc>
        <w:tc>
          <w:tcPr>
            <w:tcW w:w="2084"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Mekanisme insentif dan disinsentif untuk mencapai penaatan</w:t>
            </w:r>
          </w:p>
        </w:tc>
        <w:tc>
          <w:tcPr>
            <w:tcW w:w="1233"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 </w:t>
            </w:r>
          </w:p>
        </w:tc>
        <w:tc>
          <w:tcPr>
            <w:tcW w:w="4753"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Tidak ditemukan aturan yang relevan</w:t>
            </w:r>
          </w:p>
        </w:tc>
        <w:tc>
          <w:tcPr>
            <w:tcW w:w="1676"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1</w:t>
            </w:r>
          </w:p>
        </w:tc>
      </w:tr>
      <w:tr w:rsidR="009E7F44" w:rsidRPr="009E7F44" w:rsidTr="009E7F44">
        <w:trPr>
          <w:trHeight w:val="255"/>
        </w:trPr>
        <w:tc>
          <w:tcPr>
            <w:tcW w:w="1134"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2084"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1233"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4753"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1676"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p>
        </w:tc>
      </w:tr>
      <w:tr w:rsidR="009E7F44" w:rsidRPr="009E7F44" w:rsidTr="009E7F44">
        <w:trPr>
          <w:trHeight w:val="330"/>
        </w:trPr>
        <w:tc>
          <w:tcPr>
            <w:tcW w:w="3218" w:type="dxa"/>
            <w:gridSpan w:val="2"/>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Isu dalam PGA REDD+</w:t>
            </w:r>
          </w:p>
        </w:tc>
        <w:tc>
          <w:tcPr>
            <w:tcW w:w="5986" w:type="dxa"/>
            <w:gridSpan w:val="2"/>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  IV. Pengelolaan Hutan</w:t>
            </w:r>
          </w:p>
        </w:tc>
        <w:tc>
          <w:tcPr>
            <w:tcW w:w="1676"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p>
        </w:tc>
      </w:tr>
      <w:tr w:rsidR="009E7F44" w:rsidRPr="009E7F44" w:rsidTr="009E7F44">
        <w:trPr>
          <w:trHeight w:val="900"/>
        </w:trPr>
        <w:tc>
          <w:tcPr>
            <w:tcW w:w="1134"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Indikator</w:t>
            </w:r>
          </w:p>
        </w:tc>
        <w:tc>
          <w:tcPr>
            <w:tcW w:w="2084"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7662" w:type="dxa"/>
            <w:gridSpan w:val="3"/>
            <w:tcBorders>
              <w:top w:val="nil"/>
              <w:left w:val="nil"/>
              <w:bottom w:val="nil"/>
              <w:right w:val="nil"/>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 xml:space="preserve">: a. Keberadaan dan komprehensiveness aturan yang mengatur kewajiban penyusunan rencana pengelolaan hutan secara berkeadilan dan obyektif </w:t>
            </w:r>
          </w:p>
        </w:tc>
      </w:tr>
      <w:tr w:rsidR="009E7F44" w:rsidRPr="009E7F44" w:rsidTr="009E7F44">
        <w:trPr>
          <w:trHeight w:val="255"/>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Kode</w:t>
            </w:r>
          </w:p>
        </w:tc>
        <w:tc>
          <w:tcPr>
            <w:tcW w:w="2084" w:type="dxa"/>
            <w:tcBorders>
              <w:top w:val="single" w:sz="4" w:space="0" w:color="auto"/>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Item Data</w:t>
            </w:r>
          </w:p>
        </w:tc>
        <w:tc>
          <w:tcPr>
            <w:tcW w:w="1233" w:type="dxa"/>
            <w:tcBorders>
              <w:top w:val="single" w:sz="4" w:space="0" w:color="auto"/>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Sumber Data</w:t>
            </w:r>
          </w:p>
        </w:tc>
        <w:tc>
          <w:tcPr>
            <w:tcW w:w="4753" w:type="dxa"/>
            <w:tcBorders>
              <w:top w:val="single" w:sz="4" w:space="0" w:color="auto"/>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Sumber Dokumen Hukum dan Kebijakan</w:t>
            </w:r>
          </w:p>
        </w:tc>
        <w:tc>
          <w:tcPr>
            <w:tcW w:w="1676" w:type="dxa"/>
            <w:tcBorders>
              <w:top w:val="single" w:sz="4" w:space="0" w:color="auto"/>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Kategori Data</w:t>
            </w:r>
          </w:p>
        </w:tc>
      </w:tr>
      <w:tr w:rsidR="009E7F44" w:rsidRPr="009E7F44" w:rsidTr="009E7F44">
        <w:trPr>
          <w:trHeight w:val="255"/>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AIVa1</w:t>
            </w:r>
          </w:p>
        </w:tc>
        <w:tc>
          <w:tcPr>
            <w:tcW w:w="2084" w:type="dxa"/>
            <w:vMerge w:val="restart"/>
            <w:tcBorders>
              <w:top w:val="nil"/>
              <w:left w:val="single" w:sz="4" w:space="0" w:color="auto"/>
              <w:bottom w:val="single" w:sz="4" w:space="0" w:color="000000"/>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FF0000"/>
                <w:sz w:val="20"/>
                <w:szCs w:val="20"/>
                <w:lang w:eastAsia="id-ID"/>
              </w:rPr>
            </w:pPr>
            <w:r w:rsidRPr="009E7F44">
              <w:rPr>
                <w:rFonts w:ascii="Times New Roman" w:eastAsia="Times New Roman" w:hAnsi="Times New Roman" w:cs="Times New Roman"/>
                <w:color w:val="FF0000"/>
                <w:sz w:val="20"/>
                <w:szCs w:val="20"/>
                <w:lang w:eastAsia="id-ID"/>
              </w:rPr>
              <w:t>Tidak ada item data dari sumber awal</w:t>
            </w:r>
          </w:p>
        </w:tc>
        <w:tc>
          <w:tcPr>
            <w:tcW w:w="123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 </w:t>
            </w:r>
          </w:p>
        </w:tc>
        <w:tc>
          <w:tcPr>
            <w:tcW w:w="475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 </w:t>
            </w:r>
          </w:p>
        </w:tc>
        <w:tc>
          <w:tcPr>
            <w:tcW w:w="1676"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 </w:t>
            </w:r>
          </w:p>
        </w:tc>
      </w:tr>
      <w:tr w:rsidR="009E7F44" w:rsidRPr="009E7F44" w:rsidTr="009E7F44">
        <w:trPr>
          <w:trHeight w:val="255"/>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AIVa2</w:t>
            </w:r>
          </w:p>
        </w:tc>
        <w:tc>
          <w:tcPr>
            <w:tcW w:w="2084" w:type="dxa"/>
            <w:vMerge/>
            <w:tcBorders>
              <w:top w:val="nil"/>
              <w:left w:val="single" w:sz="4" w:space="0" w:color="auto"/>
              <w:bottom w:val="single" w:sz="4" w:space="0" w:color="000000"/>
              <w:right w:val="single" w:sz="4" w:space="0" w:color="auto"/>
            </w:tcBorders>
            <w:vAlign w:val="center"/>
            <w:hideMark/>
          </w:tcPr>
          <w:p w:rsidR="009E7F44" w:rsidRPr="009E7F44" w:rsidRDefault="009E7F44" w:rsidP="009E7F44">
            <w:pPr>
              <w:spacing w:after="0" w:line="240" w:lineRule="auto"/>
              <w:rPr>
                <w:rFonts w:ascii="Times New Roman" w:eastAsia="Times New Roman" w:hAnsi="Times New Roman" w:cs="Times New Roman"/>
                <w:color w:val="FF0000"/>
                <w:sz w:val="20"/>
                <w:szCs w:val="20"/>
                <w:lang w:eastAsia="id-ID"/>
              </w:rPr>
            </w:pPr>
          </w:p>
        </w:tc>
        <w:tc>
          <w:tcPr>
            <w:tcW w:w="123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 </w:t>
            </w:r>
          </w:p>
        </w:tc>
        <w:tc>
          <w:tcPr>
            <w:tcW w:w="475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 </w:t>
            </w:r>
          </w:p>
        </w:tc>
        <w:tc>
          <w:tcPr>
            <w:tcW w:w="1676"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 </w:t>
            </w:r>
          </w:p>
        </w:tc>
      </w:tr>
      <w:tr w:rsidR="009E7F44" w:rsidRPr="009E7F44" w:rsidTr="009E7F44">
        <w:trPr>
          <w:trHeight w:val="255"/>
        </w:trPr>
        <w:tc>
          <w:tcPr>
            <w:tcW w:w="1134"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2084"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1233"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4753"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1676"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p>
        </w:tc>
      </w:tr>
      <w:tr w:rsidR="009E7F44" w:rsidRPr="009E7F44" w:rsidTr="009E7F44">
        <w:trPr>
          <w:trHeight w:val="900"/>
        </w:trPr>
        <w:tc>
          <w:tcPr>
            <w:tcW w:w="1134"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Indikator</w:t>
            </w:r>
          </w:p>
        </w:tc>
        <w:tc>
          <w:tcPr>
            <w:tcW w:w="2084"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7662" w:type="dxa"/>
            <w:gridSpan w:val="3"/>
            <w:tcBorders>
              <w:top w:val="nil"/>
              <w:left w:val="nil"/>
              <w:bottom w:val="nil"/>
              <w:right w:val="nil"/>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 b. Keberadaan dan komprehensiveness aturan yang mengatur transparansi pengelolaan hutan dan lahan gambut</w:t>
            </w:r>
          </w:p>
        </w:tc>
      </w:tr>
      <w:tr w:rsidR="009E7F44" w:rsidRPr="009E7F44" w:rsidTr="009E7F44">
        <w:trPr>
          <w:trHeight w:val="390"/>
        </w:trPr>
        <w:tc>
          <w:tcPr>
            <w:tcW w:w="3218" w:type="dxa"/>
            <w:gridSpan w:val="2"/>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Sumber Data</w:t>
            </w:r>
          </w:p>
        </w:tc>
        <w:tc>
          <w:tcPr>
            <w:tcW w:w="7662" w:type="dxa"/>
            <w:gridSpan w:val="3"/>
            <w:tcBorders>
              <w:top w:val="nil"/>
              <w:left w:val="nil"/>
              <w:bottom w:val="single" w:sz="4" w:space="0" w:color="auto"/>
              <w:right w:val="nil"/>
            </w:tcBorders>
            <w:shd w:val="clear" w:color="auto" w:fill="auto"/>
            <w:vAlign w:val="center"/>
            <w:hideMark/>
          </w:tcPr>
          <w:p w:rsidR="009E7F44" w:rsidRPr="009E7F44" w:rsidRDefault="009E7F44" w:rsidP="009E7F44">
            <w:pPr>
              <w:spacing w:after="24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 SK Menhut/pertanian/ SK/perda-Gub/Bup</w:t>
            </w:r>
          </w:p>
        </w:tc>
      </w:tr>
      <w:tr w:rsidR="009E7F44" w:rsidRPr="009E7F44" w:rsidTr="009E7F44">
        <w:trPr>
          <w:trHeight w:val="255"/>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Kode</w:t>
            </w:r>
          </w:p>
        </w:tc>
        <w:tc>
          <w:tcPr>
            <w:tcW w:w="2084" w:type="dxa"/>
            <w:tcBorders>
              <w:top w:val="single" w:sz="4" w:space="0" w:color="auto"/>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Item Data</w:t>
            </w:r>
          </w:p>
        </w:tc>
        <w:tc>
          <w:tcPr>
            <w:tcW w:w="123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Sumber Data</w:t>
            </w:r>
          </w:p>
        </w:tc>
        <w:tc>
          <w:tcPr>
            <w:tcW w:w="475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Sumber Dokumen Hukum dan Kebijakan</w:t>
            </w:r>
          </w:p>
        </w:tc>
        <w:tc>
          <w:tcPr>
            <w:tcW w:w="1676"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Kategori Data</w:t>
            </w:r>
          </w:p>
        </w:tc>
      </w:tr>
      <w:tr w:rsidR="009E7F44" w:rsidRPr="009E7F44" w:rsidTr="009E7F44">
        <w:trPr>
          <w:trHeight w:val="1275"/>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AIVb1</w:t>
            </w:r>
          </w:p>
        </w:tc>
        <w:tc>
          <w:tcPr>
            <w:tcW w:w="2084"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 xml:space="preserve">Kewajiban menyediakan seluruh informasi dalam kaitannya dengan pengelolaan hutan secara sistematis sehingga mudah </w:t>
            </w:r>
            <w:r w:rsidRPr="009E7F44">
              <w:rPr>
                <w:rFonts w:ascii="Times New Roman" w:eastAsia="Times New Roman" w:hAnsi="Times New Roman" w:cs="Times New Roman"/>
                <w:color w:val="000000"/>
                <w:sz w:val="20"/>
                <w:szCs w:val="20"/>
                <w:lang w:eastAsia="id-ID"/>
              </w:rPr>
              <w:lastRenderedPageBreak/>
              <w:t>diakses</w:t>
            </w:r>
          </w:p>
        </w:tc>
        <w:tc>
          <w:tcPr>
            <w:tcW w:w="123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lastRenderedPageBreak/>
              <w:t> </w:t>
            </w:r>
          </w:p>
        </w:tc>
        <w:tc>
          <w:tcPr>
            <w:tcW w:w="4753"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Tidak ditemukan aturan yang relevan</w:t>
            </w:r>
          </w:p>
        </w:tc>
        <w:tc>
          <w:tcPr>
            <w:tcW w:w="1676"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1</w:t>
            </w:r>
          </w:p>
        </w:tc>
      </w:tr>
      <w:tr w:rsidR="009E7F44" w:rsidRPr="009E7F44" w:rsidTr="009E7F44">
        <w:trPr>
          <w:trHeight w:val="765"/>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lastRenderedPageBreak/>
              <w:t>AIVb2</w:t>
            </w:r>
          </w:p>
        </w:tc>
        <w:tc>
          <w:tcPr>
            <w:tcW w:w="2084"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Mewajibkan agar Badan Publik memiliki petugas khusus yang menangani permintaan informasi</w:t>
            </w:r>
          </w:p>
        </w:tc>
        <w:tc>
          <w:tcPr>
            <w:tcW w:w="123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 </w:t>
            </w:r>
          </w:p>
        </w:tc>
        <w:tc>
          <w:tcPr>
            <w:tcW w:w="4753"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Tidak ditemukan aturan yang relevan</w:t>
            </w:r>
          </w:p>
        </w:tc>
        <w:tc>
          <w:tcPr>
            <w:tcW w:w="1676"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1</w:t>
            </w:r>
          </w:p>
        </w:tc>
      </w:tr>
      <w:tr w:rsidR="009E7F44" w:rsidRPr="009E7F44" w:rsidTr="009E7F44">
        <w:trPr>
          <w:trHeight w:val="102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AIVb3</w:t>
            </w:r>
          </w:p>
        </w:tc>
        <w:tc>
          <w:tcPr>
            <w:tcW w:w="2084"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Kewajiban pemberian akses bagi publik baik secara proaktif maupun berdasarkan permintaan</w:t>
            </w:r>
          </w:p>
        </w:tc>
        <w:tc>
          <w:tcPr>
            <w:tcW w:w="123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 </w:t>
            </w:r>
          </w:p>
        </w:tc>
        <w:tc>
          <w:tcPr>
            <w:tcW w:w="4753"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Tidak ditemukan aturan yang relevan</w:t>
            </w:r>
          </w:p>
        </w:tc>
        <w:tc>
          <w:tcPr>
            <w:tcW w:w="1676"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1</w:t>
            </w:r>
          </w:p>
        </w:tc>
      </w:tr>
      <w:tr w:rsidR="009E7F44" w:rsidRPr="009E7F44" w:rsidTr="009E7F44">
        <w:trPr>
          <w:trHeight w:val="1275"/>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AIVb4</w:t>
            </w:r>
          </w:p>
        </w:tc>
        <w:tc>
          <w:tcPr>
            <w:tcW w:w="2084"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Terdapat pengumuman informasi tentang rencana kegiatan/proyek yang disertai dengan dokumen pendukungnya</w:t>
            </w:r>
          </w:p>
        </w:tc>
        <w:tc>
          <w:tcPr>
            <w:tcW w:w="123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 </w:t>
            </w:r>
          </w:p>
        </w:tc>
        <w:tc>
          <w:tcPr>
            <w:tcW w:w="475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Tidak ditemukan aturan yang relevan, tetapi berdasarkan informasi yang disampaikan pejabat yang berwenang (Kabid Kehutanan Dinas Kehutanan Aceh Tenggara) didapatkan informasi tentang pengumuman setiap informasi tetang rencana kegiatan atau proyek beserta dokumen pendukungnya.</w:t>
            </w:r>
          </w:p>
        </w:tc>
        <w:tc>
          <w:tcPr>
            <w:tcW w:w="1676"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1</w:t>
            </w:r>
          </w:p>
        </w:tc>
      </w:tr>
      <w:tr w:rsidR="009E7F44" w:rsidRPr="009E7F44" w:rsidTr="009E7F44">
        <w:trPr>
          <w:trHeight w:val="1275"/>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AIVb5</w:t>
            </w:r>
          </w:p>
        </w:tc>
        <w:tc>
          <w:tcPr>
            <w:tcW w:w="2084"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Batasan atas informasi yg dapat diakses diatur dengan jelas dan didasarkan pada kepentingan publik (balancing public interest test)</w:t>
            </w:r>
          </w:p>
        </w:tc>
        <w:tc>
          <w:tcPr>
            <w:tcW w:w="123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 </w:t>
            </w:r>
          </w:p>
        </w:tc>
        <w:tc>
          <w:tcPr>
            <w:tcW w:w="4753"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Tidak ditemukan aturan yang relevan</w:t>
            </w:r>
          </w:p>
        </w:tc>
        <w:tc>
          <w:tcPr>
            <w:tcW w:w="1676"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1</w:t>
            </w:r>
          </w:p>
        </w:tc>
      </w:tr>
      <w:tr w:rsidR="009E7F44" w:rsidRPr="009E7F44" w:rsidTr="009E7F44">
        <w:trPr>
          <w:trHeight w:val="765"/>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AIVb6</w:t>
            </w:r>
          </w:p>
        </w:tc>
        <w:tc>
          <w:tcPr>
            <w:tcW w:w="2084"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Sanksi bagi pihak-pihak yang sengaja menghambat akses publik atas informasi</w:t>
            </w:r>
          </w:p>
        </w:tc>
        <w:tc>
          <w:tcPr>
            <w:tcW w:w="123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 </w:t>
            </w:r>
          </w:p>
        </w:tc>
        <w:tc>
          <w:tcPr>
            <w:tcW w:w="4753"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Tidak ditemukan aturan yang relevan</w:t>
            </w:r>
          </w:p>
        </w:tc>
        <w:tc>
          <w:tcPr>
            <w:tcW w:w="1676"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1</w:t>
            </w:r>
          </w:p>
        </w:tc>
      </w:tr>
      <w:tr w:rsidR="009E7F44" w:rsidRPr="009E7F44" w:rsidTr="009E7F44">
        <w:trPr>
          <w:trHeight w:val="255"/>
        </w:trPr>
        <w:tc>
          <w:tcPr>
            <w:tcW w:w="1134"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2084"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1233"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4753"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1676"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p>
        </w:tc>
      </w:tr>
      <w:tr w:rsidR="009E7F44" w:rsidRPr="009E7F44" w:rsidTr="009E7F44">
        <w:trPr>
          <w:trHeight w:val="900"/>
        </w:trPr>
        <w:tc>
          <w:tcPr>
            <w:tcW w:w="1134"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Indikator</w:t>
            </w:r>
          </w:p>
        </w:tc>
        <w:tc>
          <w:tcPr>
            <w:tcW w:w="2084"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7662" w:type="dxa"/>
            <w:gridSpan w:val="3"/>
            <w:tcBorders>
              <w:top w:val="nil"/>
              <w:left w:val="nil"/>
              <w:bottom w:val="nil"/>
              <w:right w:val="nil"/>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 xml:space="preserve">: c. Keberadaan dan komprehensiveness aturan yang mengatur keterlibatan pemangku kepentingan dalam pengelolaan hutan dan lahan gambut yang  berarti </w:t>
            </w:r>
          </w:p>
        </w:tc>
      </w:tr>
      <w:tr w:rsidR="009E7F44" w:rsidRPr="009E7F44" w:rsidTr="009E7F44">
        <w:trPr>
          <w:trHeight w:val="390"/>
        </w:trPr>
        <w:tc>
          <w:tcPr>
            <w:tcW w:w="3218" w:type="dxa"/>
            <w:gridSpan w:val="2"/>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Sumber Data</w:t>
            </w:r>
          </w:p>
        </w:tc>
        <w:tc>
          <w:tcPr>
            <w:tcW w:w="7662" w:type="dxa"/>
            <w:gridSpan w:val="3"/>
            <w:tcBorders>
              <w:top w:val="nil"/>
              <w:left w:val="nil"/>
              <w:bottom w:val="single" w:sz="4" w:space="0" w:color="auto"/>
              <w:right w:val="nil"/>
            </w:tcBorders>
            <w:shd w:val="clear" w:color="auto" w:fill="auto"/>
            <w:vAlign w:val="center"/>
            <w:hideMark/>
          </w:tcPr>
          <w:p w:rsidR="009E7F44" w:rsidRPr="009E7F44" w:rsidRDefault="009E7F44" w:rsidP="009E7F44">
            <w:pPr>
              <w:spacing w:after="24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 SK Menhut/Pertanian, SK/Perda-Gub/Bup</w:t>
            </w:r>
          </w:p>
        </w:tc>
      </w:tr>
      <w:tr w:rsidR="009E7F44" w:rsidRPr="009E7F44" w:rsidTr="009E7F44">
        <w:trPr>
          <w:trHeight w:val="255"/>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Kode</w:t>
            </w:r>
          </w:p>
        </w:tc>
        <w:tc>
          <w:tcPr>
            <w:tcW w:w="2084" w:type="dxa"/>
            <w:tcBorders>
              <w:top w:val="single" w:sz="4" w:space="0" w:color="auto"/>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Item Data</w:t>
            </w:r>
          </w:p>
        </w:tc>
        <w:tc>
          <w:tcPr>
            <w:tcW w:w="123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Sumber Data</w:t>
            </w:r>
          </w:p>
        </w:tc>
        <w:tc>
          <w:tcPr>
            <w:tcW w:w="475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Sumber Dokumen Hukum dan Kebijakan</w:t>
            </w:r>
          </w:p>
        </w:tc>
        <w:tc>
          <w:tcPr>
            <w:tcW w:w="1676"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Kategori Data</w:t>
            </w:r>
          </w:p>
        </w:tc>
      </w:tr>
      <w:tr w:rsidR="009E7F44" w:rsidRPr="009E7F44" w:rsidTr="009E7F44">
        <w:trPr>
          <w:trHeight w:val="102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AIVc1</w:t>
            </w:r>
          </w:p>
        </w:tc>
        <w:tc>
          <w:tcPr>
            <w:tcW w:w="2084"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Informasi rencana pemberian izin/pelaksanaan lelang kepada seluruh pihak yg memiliki hak serta pihak yg berkepentingan</w:t>
            </w:r>
          </w:p>
        </w:tc>
        <w:tc>
          <w:tcPr>
            <w:tcW w:w="123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RTRWK</w:t>
            </w:r>
          </w:p>
        </w:tc>
        <w:tc>
          <w:tcPr>
            <w:tcW w:w="475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RTRWK Aceh Tenggara 2010-2030</w:t>
            </w:r>
          </w:p>
        </w:tc>
        <w:tc>
          <w:tcPr>
            <w:tcW w:w="1676"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3</w:t>
            </w:r>
          </w:p>
        </w:tc>
      </w:tr>
      <w:tr w:rsidR="009E7F44" w:rsidRPr="009E7F44" w:rsidTr="009E7F44">
        <w:trPr>
          <w:trHeight w:val="1275"/>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AIVc2</w:t>
            </w:r>
          </w:p>
        </w:tc>
        <w:tc>
          <w:tcPr>
            <w:tcW w:w="2084"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Mekanisme yang memudahkan bagi seluruh pihak yang berkepentingan untuk dapat terlibat dalam proses pengambilan keputusan</w:t>
            </w:r>
          </w:p>
        </w:tc>
        <w:tc>
          <w:tcPr>
            <w:tcW w:w="123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 </w:t>
            </w:r>
          </w:p>
        </w:tc>
        <w:tc>
          <w:tcPr>
            <w:tcW w:w="4753"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Tidak ditemukan aturan yang relevan</w:t>
            </w:r>
          </w:p>
        </w:tc>
        <w:tc>
          <w:tcPr>
            <w:tcW w:w="1676"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1</w:t>
            </w:r>
          </w:p>
        </w:tc>
      </w:tr>
      <w:tr w:rsidR="009E7F44" w:rsidRPr="009E7F44" w:rsidTr="009E7F44">
        <w:trPr>
          <w:trHeight w:val="1275"/>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AIVc3</w:t>
            </w:r>
          </w:p>
        </w:tc>
        <w:tc>
          <w:tcPr>
            <w:tcW w:w="2084"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 xml:space="preserve">Penunjukan satu petugas khusus yang bertanggungjawab mengelola masukan publik dalam proses pemberian </w:t>
            </w:r>
            <w:r w:rsidRPr="009E7F44">
              <w:rPr>
                <w:rFonts w:ascii="Times New Roman" w:eastAsia="Times New Roman" w:hAnsi="Times New Roman" w:cs="Times New Roman"/>
                <w:color w:val="000000"/>
                <w:sz w:val="20"/>
                <w:szCs w:val="20"/>
                <w:lang w:eastAsia="id-ID"/>
              </w:rPr>
              <w:lastRenderedPageBreak/>
              <w:t>izin/pelaksanaan lelang</w:t>
            </w:r>
          </w:p>
        </w:tc>
        <w:tc>
          <w:tcPr>
            <w:tcW w:w="123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lastRenderedPageBreak/>
              <w:t> </w:t>
            </w:r>
          </w:p>
        </w:tc>
        <w:tc>
          <w:tcPr>
            <w:tcW w:w="4753"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Tidak ditemukan aturan yang relevan</w:t>
            </w:r>
          </w:p>
        </w:tc>
        <w:tc>
          <w:tcPr>
            <w:tcW w:w="1676"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1</w:t>
            </w:r>
          </w:p>
        </w:tc>
      </w:tr>
      <w:tr w:rsidR="009E7F44" w:rsidRPr="009E7F44" w:rsidTr="009E7F44">
        <w:trPr>
          <w:trHeight w:val="51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lastRenderedPageBreak/>
              <w:t>AIVc4</w:t>
            </w:r>
          </w:p>
        </w:tc>
        <w:tc>
          <w:tcPr>
            <w:tcW w:w="2084"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Dokumentasi setiap masukan baik yang tertulis ataupun tidak</w:t>
            </w:r>
          </w:p>
        </w:tc>
        <w:tc>
          <w:tcPr>
            <w:tcW w:w="123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 </w:t>
            </w:r>
          </w:p>
        </w:tc>
        <w:tc>
          <w:tcPr>
            <w:tcW w:w="4753"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Tidak ditemukan aturan yang relevan</w:t>
            </w:r>
          </w:p>
        </w:tc>
        <w:tc>
          <w:tcPr>
            <w:tcW w:w="1676"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1</w:t>
            </w:r>
          </w:p>
        </w:tc>
      </w:tr>
      <w:tr w:rsidR="009E7F44" w:rsidRPr="009E7F44" w:rsidTr="009E7F44">
        <w:trPr>
          <w:trHeight w:val="765"/>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AIVc5</w:t>
            </w:r>
          </w:p>
        </w:tc>
        <w:tc>
          <w:tcPr>
            <w:tcW w:w="2084"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Pemberian respon yang bersifat terbuka atas setiap masukan yang ada</w:t>
            </w:r>
          </w:p>
        </w:tc>
        <w:tc>
          <w:tcPr>
            <w:tcW w:w="123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 </w:t>
            </w:r>
          </w:p>
        </w:tc>
        <w:tc>
          <w:tcPr>
            <w:tcW w:w="4753"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Tidak ditemukan aturan yang relevan</w:t>
            </w:r>
          </w:p>
        </w:tc>
        <w:tc>
          <w:tcPr>
            <w:tcW w:w="1676"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1</w:t>
            </w:r>
          </w:p>
        </w:tc>
      </w:tr>
      <w:tr w:rsidR="009E7F44" w:rsidRPr="009E7F44" w:rsidTr="009E7F44">
        <w:trPr>
          <w:trHeight w:val="51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AIVc6</w:t>
            </w:r>
          </w:p>
        </w:tc>
        <w:tc>
          <w:tcPr>
            <w:tcW w:w="2084"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Pemberian penjelasan atas keputusan akhir yang diambil</w:t>
            </w:r>
          </w:p>
        </w:tc>
        <w:tc>
          <w:tcPr>
            <w:tcW w:w="123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 </w:t>
            </w:r>
          </w:p>
        </w:tc>
        <w:tc>
          <w:tcPr>
            <w:tcW w:w="4753"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Tidak ditemukan aturan yang relevan</w:t>
            </w:r>
          </w:p>
        </w:tc>
        <w:tc>
          <w:tcPr>
            <w:tcW w:w="1676"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1</w:t>
            </w:r>
          </w:p>
        </w:tc>
      </w:tr>
      <w:tr w:rsidR="009E7F44" w:rsidRPr="009E7F44" w:rsidTr="009E7F44">
        <w:trPr>
          <w:trHeight w:val="255"/>
        </w:trPr>
        <w:tc>
          <w:tcPr>
            <w:tcW w:w="1134"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2084"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1233"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4753"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1676"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p>
        </w:tc>
      </w:tr>
      <w:tr w:rsidR="009E7F44" w:rsidRPr="009E7F44" w:rsidTr="009E7F44">
        <w:trPr>
          <w:trHeight w:val="900"/>
        </w:trPr>
        <w:tc>
          <w:tcPr>
            <w:tcW w:w="1134"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Indikator</w:t>
            </w:r>
          </w:p>
        </w:tc>
        <w:tc>
          <w:tcPr>
            <w:tcW w:w="2084"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7662" w:type="dxa"/>
            <w:gridSpan w:val="3"/>
            <w:tcBorders>
              <w:top w:val="nil"/>
              <w:left w:val="nil"/>
              <w:bottom w:val="nil"/>
              <w:right w:val="nil"/>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 d. Keberadaan dan komprehensiveness aturan yang mengatur mekanisme pemberian izin pengelolaan hutan yang efisien</w:t>
            </w:r>
          </w:p>
        </w:tc>
      </w:tr>
      <w:tr w:rsidR="009E7F44" w:rsidRPr="009E7F44" w:rsidTr="009E7F44">
        <w:trPr>
          <w:trHeight w:val="255"/>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Kode</w:t>
            </w:r>
          </w:p>
        </w:tc>
        <w:tc>
          <w:tcPr>
            <w:tcW w:w="2084" w:type="dxa"/>
            <w:tcBorders>
              <w:top w:val="single" w:sz="4" w:space="0" w:color="auto"/>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Item Data</w:t>
            </w:r>
          </w:p>
        </w:tc>
        <w:tc>
          <w:tcPr>
            <w:tcW w:w="1233" w:type="dxa"/>
            <w:tcBorders>
              <w:top w:val="single" w:sz="4" w:space="0" w:color="auto"/>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Sumber Data</w:t>
            </w:r>
          </w:p>
        </w:tc>
        <w:tc>
          <w:tcPr>
            <w:tcW w:w="4753" w:type="dxa"/>
            <w:tcBorders>
              <w:top w:val="single" w:sz="4" w:space="0" w:color="auto"/>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Sumber Dokumen Hukum dan Kebijakan</w:t>
            </w:r>
          </w:p>
        </w:tc>
        <w:tc>
          <w:tcPr>
            <w:tcW w:w="1676" w:type="dxa"/>
            <w:tcBorders>
              <w:top w:val="single" w:sz="4" w:space="0" w:color="auto"/>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Kategori Data</w:t>
            </w:r>
          </w:p>
        </w:tc>
      </w:tr>
      <w:tr w:rsidR="009E7F44" w:rsidRPr="009E7F44" w:rsidTr="009E7F44">
        <w:trPr>
          <w:trHeight w:val="51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AIVd1</w:t>
            </w:r>
          </w:p>
        </w:tc>
        <w:tc>
          <w:tcPr>
            <w:tcW w:w="2084" w:type="dxa"/>
            <w:vMerge w:val="restart"/>
            <w:tcBorders>
              <w:top w:val="nil"/>
              <w:left w:val="single" w:sz="4" w:space="0" w:color="auto"/>
              <w:bottom w:val="single" w:sz="4" w:space="0" w:color="000000"/>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FF0000"/>
                <w:sz w:val="20"/>
                <w:szCs w:val="20"/>
                <w:lang w:eastAsia="id-ID"/>
              </w:rPr>
            </w:pPr>
            <w:r w:rsidRPr="009E7F44">
              <w:rPr>
                <w:rFonts w:ascii="Times New Roman" w:eastAsia="Times New Roman" w:hAnsi="Times New Roman" w:cs="Times New Roman"/>
                <w:color w:val="FF0000"/>
                <w:sz w:val="20"/>
                <w:szCs w:val="20"/>
                <w:lang w:eastAsia="id-ID"/>
              </w:rPr>
              <w:t>Tidak ada item data dari sumber awal</w:t>
            </w:r>
          </w:p>
        </w:tc>
        <w:tc>
          <w:tcPr>
            <w:tcW w:w="123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RTRWK</w:t>
            </w:r>
          </w:p>
        </w:tc>
        <w:tc>
          <w:tcPr>
            <w:tcW w:w="475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Bab 7 RTRWK Aceh Tenggara 2010-2030, Qanun No 1 Tahun 2010 Tentang RTRWK</w:t>
            </w:r>
          </w:p>
        </w:tc>
        <w:tc>
          <w:tcPr>
            <w:tcW w:w="1676"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2</w:t>
            </w:r>
          </w:p>
        </w:tc>
      </w:tr>
      <w:tr w:rsidR="009E7F44" w:rsidRPr="009E7F44" w:rsidTr="009E7F44">
        <w:trPr>
          <w:trHeight w:val="51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AIVd2</w:t>
            </w:r>
          </w:p>
        </w:tc>
        <w:tc>
          <w:tcPr>
            <w:tcW w:w="2084" w:type="dxa"/>
            <w:vMerge/>
            <w:tcBorders>
              <w:top w:val="nil"/>
              <w:left w:val="single" w:sz="4" w:space="0" w:color="auto"/>
              <w:bottom w:val="single" w:sz="4" w:space="0" w:color="000000"/>
              <w:right w:val="single" w:sz="4" w:space="0" w:color="auto"/>
            </w:tcBorders>
            <w:vAlign w:val="center"/>
            <w:hideMark/>
          </w:tcPr>
          <w:p w:rsidR="009E7F44" w:rsidRPr="009E7F44" w:rsidRDefault="009E7F44" w:rsidP="009E7F44">
            <w:pPr>
              <w:spacing w:after="0" w:line="240" w:lineRule="auto"/>
              <w:rPr>
                <w:rFonts w:ascii="Times New Roman" w:eastAsia="Times New Roman" w:hAnsi="Times New Roman" w:cs="Times New Roman"/>
                <w:color w:val="FF0000"/>
                <w:sz w:val="20"/>
                <w:szCs w:val="20"/>
                <w:lang w:eastAsia="id-ID"/>
              </w:rPr>
            </w:pPr>
          </w:p>
        </w:tc>
        <w:tc>
          <w:tcPr>
            <w:tcW w:w="123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RTRWK</w:t>
            </w:r>
          </w:p>
        </w:tc>
        <w:tc>
          <w:tcPr>
            <w:tcW w:w="475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Bab 7 RTRWK Aceh Tenggara 2010-2030, Qanun No 1 Tahun 2010 Tentang RTRWK</w:t>
            </w:r>
          </w:p>
        </w:tc>
        <w:tc>
          <w:tcPr>
            <w:tcW w:w="1676"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2</w:t>
            </w:r>
          </w:p>
        </w:tc>
      </w:tr>
      <w:tr w:rsidR="009E7F44" w:rsidRPr="009E7F44" w:rsidTr="009E7F44">
        <w:trPr>
          <w:trHeight w:val="255"/>
        </w:trPr>
        <w:tc>
          <w:tcPr>
            <w:tcW w:w="1134"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2084"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1233"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4753"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1676"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p>
        </w:tc>
      </w:tr>
      <w:tr w:rsidR="009E7F44" w:rsidRPr="009E7F44" w:rsidTr="009E7F44">
        <w:trPr>
          <w:trHeight w:val="690"/>
        </w:trPr>
        <w:tc>
          <w:tcPr>
            <w:tcW w:w="1134"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Indikator</w:t>
            </w:r>
          </w:p>
        </w:tc>
        <w:tc>
          <w:tcPr>
            <w:tcW w:w="2084"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7662" w:type="dxa"/>
            <w:gridSpan w:val="3"/>
            <w:tcBorders>
              <w:top w:val="nil"/>
              <w:left w:val="nil"/>
              <w:bottom w:val="nil"/>
              <w:right w:val="nil"/>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 e. Keberadaan dan komprehensiveness aturan yang mengatur mekanisme penanganan pengaduan dalam konflik pengelolaan hutan dan lahan gambu</w:t>
            </w:r>
          </w:p>
        </w:tc>
      </w:tr>
      <w:tr w:rsidR="009E7F44" w:rsidRPr="009E7F44" w:rsidTr="009E7F44">
        <w:trPr>
          <w:trHeight w:val="255"/>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Kode</w:t>
            </w:r>
          </w:p>
        </w:tc>
        <w:tc>
          <w:tcPr>
            <w:tcW w:w="2084" w:type="dxa"/>
            <w:tcBorders>
              <w:top w:val="single" w:sz="4" w:space="0" w:color="auto"/>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Item Data</w:t>
            </w:r>
          </w:p>
        </w:tc>
        <w:tc>
          <w:tcPr>
            <w:tcW w:w="1233" w:type="dxa"/>
            <w:tcBorders>
              <w:top w:val="single" w:sz="4" w:space="0" w:color="auto"/>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Sumber Data</w:t>
            </w:r>
          </w:p>
        </w:tc>
        <w:tc>
          <w:tcPr>
            <w:tcW w:w="4753" w:type="dxa"/>
            <w:tcBorders>
              <w:top w:val="single" w:sz="4" w:space="0" w:color="auto"/>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Sumber Dokumen Hukum dan Kebijakan</w:t>
            </w:r>
          </w:p>
        </w:tc>
        <w:tc>
          <w:tcPr>
            <w:tcW w:w="1676" w:type="dxa"/>
            <w:tcBorders>
              <w:top w:val="single" w:sz="4" w:space="0" w:color="auto"/>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Kategori Data</w:t>
            </w:r>
          </w:p>
        </w:tc>
      </w:tr>
      <w:tr w:rsidR="009E7F44" w:rsidRPr="009E7F44" w:rsidTr="009E7F44">
        <w:trPr>
          <w:trHeight w:val="102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AIVe1</w:t>
            </w:r>
          </w:p>
        </w:tc>
        <w:tc>
          <w:tcPr>
            <w:tcW w:w="2084"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Mekanisme pengaduan (sederhana, kejelasan tenggat waktu &amp; tindakan yang telah diambil)</w:t>
            </w:r>
          </w:p>
        </w:tc>
        <w:tc>
          <w:tcPr>
            <w:tcW w:w="123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 </w:t>
            </w:r>
          </w:p>
        </w:tc>
        <w:tc>
          <w:tcPr>
            <w:tcW w:w="4753"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Tidak ditemukan aturan yang relevan</w:t>
            </w:r>
          </w:p>
        </w:tc>
        <w:tc>
          <w:tcPr>
            <w:tcW w:w="1676"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1</w:t>
            </w:r>
          </w:p>
        </w:tc>
      </w:tr>
      <w:tr w:rsidR="009E7F44" w:rsidRPr="009E7F44" w:rsidTr="009E7F44">
        <w:trPr>
          <w:trHeight w:val="51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AIVe2</w:t>
            </w:r>
          </w:p>
        </w:tc>
        <w:tc>
          <w:tcPr>
            <w:tcW w:w="2084"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Mekanisme resolusi konflik dan penyelesaian sengketa</w:t>
            </w:r>
          </w:p>
        </w:tc>
        <w:tc>
          <w:tcPr>
            <w:tcW w:w="123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RTRWK</w:t>
            </w:r>
          </w:p>
        </w:tc>
        <w:tc>
          <w:tcPr>
            <w:tcW w:w="475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RTRWK Aceh Tenggara 2010-2030, Qanun No 1 Tahun 2010 Tentang RTRWK</w:t>
            </w:r>
          </w:p>
        </w:tc>
        <w:tc>
          <w:tcPr>
            <w:tcW w:w="1676"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2</w:t>
            </w:r>
          </w:p>
        </w:tc>
      </w:tr>
      <w:tr w:rsidR="009E7F44" w:rsidRPr="009E7F44" w:rsidTr="009E7F44">
        <w:trPr>
          <w:trHeight w:val="765"/>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AIVe3</w:t>
            </w:r>
          </w:p>
        </w:tc>
        <w:tc>
          <w:tcPr>
            <w:tcW w:w="2084"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Mediator memiliki keahlian dan pemahaman tentang isu-isu adat/masyarakat lokal</w:t>
            </w:r>
          </w:p>
        </w:tc>
        <w:tc>
          <w:tcPr>
            <w:tcW w:w="123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 </w:t>
            </w:r>
          </w:p>
        </w:tc>
        <w:tc>
          <w:tcPr>
            <w:tcW w:w="4753"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Tidak ditemukan aturan yang relevan</w:t>
            </w:r>
          </w:p>
        </w:tc>
        <w:tc>
          <w:tcPr>
            <w:tcW w:w="1676"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1</w:t>
            </w:r>
          </w:p>
        </w:tc>
      </w:tr>
      <w:tr w:rsidR="009E7F44" w:rsidRPr="009E7F44" w:rsidTr="009E7F44">
        <w:trPr>
          <w:trHeight w:val="102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AIVe4</w:t>
            </w:r>
          </w:p>
        </w:tc>
        <w:tc>
          <w:tcPr>
            <w:tcW w:w="2084"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Mekanisme pengawasan eksternal atas kinerja penegak hukum dalam menindaklanjuti pengaduan masyarakat</w:t>
            </w:r>
          </w:p>
        </w:tc>
        <w:tc>
          <w:tcPr>
            <w:tcW w:w="123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 </w:t>
            </w:r>
          </w:p>
        </w:tc>
        <w:tc>
          <w:tcPr>
            <w:tcW w:w="4753"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Tidak ditemukan aturan yang relevan</w:t>
            </w:r>
          </w:p>
        </w:tc>
        <w:tc>
          <w:tcPr>
            <w:tcW w:w="1676"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1</w:t>
            </w:r>
          </w:p>
        </w:tc>
      </w:tr>
      <w:tr w:rsidR="009E7F44" w:rsidRPr="009E7F44" w:rsidTr="009E7F44">
        <w:trPr>
          <w:trHeight w:val="255"/>
        </w:trPr>
        <w:tc>
          <w:tcPr>
            <w:tcW w:w="1134"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2084"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1233"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4753"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1676"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p>
        </w:tc>
      </w:tr>
      <w:tr w:rsidR="009E7F44" w:rsidRPr="009E7F44" w:rsidTr="009E7F44">
        <w:trPr>
          <w:trHeight w:val="330"/>
        </w:trPr>
        <w:tc>
          <w:tcPr>
            <w:tcW w:w="3218" w:type="dxa"/>
            <w:gridSpan w:val="2"/>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Isu dalam PGA REDD+</w:t>
            </w:r>
          </w:p>
        </w:tc>
        <w:tc>
          <w:tcPr>
            <w:tcW w:w="5986" w:type="dxa"/>
            <w:gridSpan w:val="2"/>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  V. Pengorganisasian Hutan</w:t>
            </w:r>
          </w:p>
        </w:tc>
        <w:tc>
          <w:tcPr>
            <w:tcW w:w="1676"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p>
        </w:tc>
      </w:tr>
      <w:tr w:rsidR="009E7F44" w:rsidRPr="009E7F44" w:rsidTr="009E7F44">
        <w:trPr>
          <w:trHeight w:val="690"/>
        </w:trPr>
        <w:tc>
          <w:tcPr>
            <w:tcW w:w="1134"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Indikator</w:t>
            </w:r>
          </w:p>
        </w:tc>
        <w:tc>
          <w:tcPr>
            <w:tcW w:w="2084"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7662" w:type="dxa"/>
            <w:gridSpan w:val="3"/>
            <w:tcBorders>
              <w:top w:val="nil"/>
              <w:left w:val="nil"/>
              <w:bottom w:val="nil"/>
              <w:right w:val="nil"/>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 a. Keberadaan dan komprehensiveness aturan yang mengatur transparansi pengendalian dan penegakan hukum dalam pengelolaan hutan</w:t>
            </w:r>
          </w:p>
        </w:tc>
      </w:tr>
      <w:tr w:rsidR="009E7F44" w:rsidRPr="009E7F44" w:rsidTr="009E7F44">
        <w:trPr>
          <w:trHeight w:val="390"/>
        </w:trPr>
        <w:tc>
          <w:tcPr>
            <w:tcW w:w="3218" w:type="dxa"/>
            <w:gridSpan w:val="2"/>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Sumber Data</w:t>
            </w:r>
          </w:p>
        </w:tc>
        <w:tc>
          <w:tcPr>
            <w:tcW w:w="7662" w:type="dxa"/>
            <w:gridSpan w:val="3"/>
            <w:tcBorders>
              <w:top w:val="nil"/>
              <w:left w:val="nil"/>
              <w:bottom w:val="single" w:sz="4" w:space="0" w:color="auto"/>
              <w:right w:val="nil"/>
            </w:tcBorders>
            <w:shd w:val="clear" w:color="auto" w:fill="auto"/>
            <w:vAlign w:val="center"/>
            <w:hideMark/>
          </w:tcPr>
          <w:p w:rsidR="009E7F44" w:rsidRPr="009E7F44" w:rsidRDefault="009E7F44" w:rsidP="009E7F44">
            <w:pPr>
              <w:spacing w:after="24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 SK Menhut/Gub/Bu</w:t>
            </w:r>
            <w:r w:rsidRPr="009E7F44">
              <w:rPr>
                <w:rFonts w:ascii="Times New Roman" w:eastAsia="Times New Roman" w:hAnsi="Times New Roman" w:cs="Times New Roman"/>
                <w:b/>
                <w:bCs/>
                <w:color w:val="000000"/>
                <w:sz w:val="20"/>
                <w:szCs w:val="20"/>
                <w:lang w:eastAsia="id-ID"/>
              </w:rPr>
              <w:br/>
            </w:r>
          </w:p>
        </w:tc>
      </w:tr>
      <w:tr w:rsidR="009E7F44" w:rsidRPr="009E7F44" w:rsidTr="009E7F44">
        <w:trPr>
          <w:trHeight w:val="255"/>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Kode</w:t>
            </w:r>
          </w:p>
        </w:tc>
        <w:tc>
          <w:tcPr>
            <w:tcW w:w="2084" w:type="dxa"/>
            <w:tcBorders>
              <w:top w:val="single" w:sz="4" w:space="0" w:color="auto"/>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Item Data</w:t>
            </w:r>
          </w:p>
        </w:tc>
        <w:tc>
          <w:tcPr>
            <w:tcW w:w="123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 xml:space="preserve">Sumber </w:t>
            </w:r>
            <w:r w:rsidRPr="009E7F44">
              <w:rPr>
                <w:rFonts w:ascii="Times New Roman" w:eastAsia="Times New Roman" w:hAnsi="Times New Roman" w:cs="Times New Roman"/>
                <w:b/>
                <w:bCs/>
                <w:color w:val="000000"/>
                <w:sz w:val="20"/>
                <w:szCs w:val="20"/>
                <w:lang w:eastAsia="id-ID"/>
              </w:rPr>
              <w:lastRenderedPageBreak/>
              <w:t>Data</w:t>
            </w:r>
          </w:p>
        </w:tc>
        <w:tc>
          <w:tcPr>
            <w:tcW w:w="475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lastRenderedPageBreak/>
              <w:t>Sumber Dokumen Hukum dan Kebijakan</w:t>
            </w:r>
          </w:p>
        </w:tc>
        <w:tc>
          <w:tcPr>
            <w:tcW w:w="1676"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Kategori Data</w:t>
            </w:r>
          </w:p>
        </w:tc>
      </w:tr>
      <w:tr w:rsidR="009E7F44" w:rsidRPr="009E7F44" w:rsidTr="009E7F44">
        <w:trPr>
          <w:trHeight w:val="102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lastRenderedPageBreak/>
              <w:t>AVa1</w:t>
            </w:r>
          </w:p>
        </w:tc>
        <w:tc>
          <w:tcPr>
            <w:tcW w:w="2084"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Ketersediaan seluruh informasi secara sistematis dalam kaitannya dengan pengawasan internal dan eksternal</w:t>
            </w:r>
          </w:p>
        </w:tc>
        <w:tc>
          <w:tcPr>
            <w:tcW w:w="123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RTRWK</w:t>
            </w:r>
          </w:p>
        </w:tc>
        <w:tc>
          <w:tcPr>
            <w:tcW w:w="475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RTRWK Aceh Tenggara 2010-2030, Qanun No 1 Tahun 2010 Tentang RTRWK</w:t>
            </w:r>
          </w:p>
        </w:tc>
        <w:tc>
          <w:tcPr>
            <w:tcW w:w="1676"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2</w:t>
            </w:r>
          </w:p>
        </w:tc>
      </w:tr>
      <w:tr w:rsidR="009E7F44" w:rsidRPr="009E7F44" w:rsidTr="009E7F44">
        <w:trPr>
          <w:trHeight w:val="153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AVa2</w:t>
            </w:r>
          </w:p>
        </w:tc>
        <w:tc>
          <w:tcPr>
            <w:tcW w:w="2084"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Terdapat aturan yang mewajibkan pemberian akses bagi publik baik secara proaktif maupun berdasarkan permintaan dalam tahap pengawasan</w:t>
            </w:r>
          </w:p>
        </w:tc>
        <w:tc>
          <w:tcPr>
            <w:tcW w:w="123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 </w:t>
            </w:r>
          </w:p>
        </w:tc>
        <w:tc>
          <w:tcPr>
            <w:tcW w:w="4753"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Tidak ditemukan aturan yang relevan</w:t>
            </w:r>
          </w:p>
        </w:tc>
        <w:tc>
          <w:tcPr>
            <w:tcW w:w="1676"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1</w:t>
            </w:r>
          </w:p>
        </w:tc>
      </w:tr>
      <w:tr w:rsidR="009E7F44" w:rsidRPr="009E7F44" w:rsidTr="009E7F44">
        <w:trPr>
          <w:trHeight w:val="1275"/>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AVa3</w:t>
            </w:r>
          </w:p>
        </w:tc>
        <w:tc>
          <w:tcPr>
            <w:tcW w:w="2084"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Batasan atas informasi yg dapat diakses diatur dengan jelas dan didasarkan pada kepentingan publik (balancing public interest test)</w:t>
            </w:r>
          </w:p>
        </w:tc>
        <w:tc>
          <w:tcPr>
            <w:tcW w:w="123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 </w:t>
            </w:r>
          </w:p>
        </w:tc>
        <w:tc>
          <w:tcPr>
            <w:tcW w:w="4753"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Tidak ditemukan aturan yang relevan</w:t>
            </w:r>
          </w:p>
        </w:tc>
        <w:tc>
          <w:tcPr>
            <w:tcW w:w="1676"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2</w:t>
            </w:r>
          </w:p>
        </w:tc>
      </w:tr>
      <w:tr w:rsidR="009E7F44" w:rsidRPr="009E7F44" w:rsidTr="009E7F44">
        <w:trPr>
          <w:trHeight w:val="765"/>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AVa4</w:t>
            </w:r>
          </w:p>
        </w:tc>
        <w:tc>
          <w:tcPr>
            <w:tcW w:w="2084"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Terdapat sanksi bagi pihak-pihak yg sengaja menghambat akses publik atas informasi</w:t>
            </w:r>
          </w:p>
        </w:tc>
        <w:tc>
          <w:tcPr>
            <w:tcW w:w="123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 </w:t>
            </w:r>
          </w:p>
        </w:tc>
        <w:tc>
          <w:tcPr>
            <w:tcW w:w="4753"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Tidak ditemukan aturan yang relevan</w:t>
            </w:r>
          </w:p>
        </w:tc>
        <w:tc>
          <w:tcPr>
            <w:tcW w:w="1676"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1</w:t>
            </w:r>
          </w:p>
        </w:tc>
      </w:tr>
      <w:tr w:rsidR="009E7F44" w:rsidRPr="009E7F44" w:rsidTr="009E7F44">
        <w:trPr>
          <w:trHeight w:val="255"/>
        </w:trPr>
        <w:tc>
          <w:tcPr>
            <w:tcW w:w="1134"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2084"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1233"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4753"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1676"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p>
        </w:tc>
      </w:tr>
      <w:tr w:rsidR="009E7F44" w:rsidRPr="009E7F44" w:rsidTr="009E7F44">
        <w:trPr>
          <w:trHeight w:val="690"/>
        </w:trPr>
        <w:tc>
          <w:tcPr>
            <w:tcW w:w="1134"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Indikator</w:t>
            </w:r>
          </w:p>
        </w:tc>
        <w:tc>
          <w:tcPr>
            <w:tcW w:w="2084"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7662" w:type="dxa"/>
            <w:gridSpan w:val="3"/>
            <w:tcBorders>
              <w:top w:val="nil"/>
              <w:left w:val="nil"/>
              <w:bottom w:val="nil"/>
              <w:right w:val="nil"/>
            </w:tcBorders>
            <w:shd w:val="clear" w:color="auto" w:fill="auto"/>
            <w:vAlign w:val="center"/>
            <w:hideMark/>
          </w:tcPr>
          <w:p w:rsidR="009E7F44" w:rsidRPr="009E7F44" w:rsidRDefault="009E7F44" w:rsidP="009E7F44">
            <w:pPr>
              <w:spacing w:after="24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 b. Keberadaan dan komprehensiveness aturan yang mengatur pengawasan yang berintegritas dan partisipatif dalam pengelolaan hutan</w:t>
            </w:r>
          </w:p>
        </w:tc>
      </w:tr>
      <w:tr w:rsidR="009E7F44" w:rsidRPr="009E7F44" w:rsidTr="009E7F44">
        <w:trPr>
          <w:trHeight w:val="390"/>
        </w:trPr>
        <w:tc>
          <w:tcPr>
            <w:tcW w:w="3218" w:type="dxa"/>
            <w:gridSpan w:val="2"/>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Sumber Data</w:t>
            </w:r>
          </w:p>
        </w:tc>
        <w:tc>
          <w:tcPr>
            <w:tcW w:w="7662" w:type="dxa"/>
            <w:gridSpan w:val="3"/>
            <w:tcBorders>
              <w:top w:val="nil"/>
              <w:left w:val="nil"/>
              <w:bottom w:val="single" w:sz="4" w:space="0" w:color="auto"/>
              <w:right w:val="nil"/>
            </w:tcBorders>
            <w:shd w:val="clear" w:color="auto" w:fill="auto"/>
            <w:vAlign w:val="center"/>
            <w:hideMark/>
          </w:tcPr>
          <w:p w:rsidR="009E7F44" w:rsidRPr="009E7F44" w:rsidRDefault="009E7F44" w:rsidP="009E7F44">
            <w:pPr>
              <w:spacing w:after="24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 Per/SK menhut/Gub/Bup</w:t>
            </w:r>
          </w:p>
        </w:tc>
      </w:tr>
      <w:tr w:rsidR="009E7F44" w:rsidRPr="009E7F44" w:rsidTr="009E7F44">
        <w:trPr>
          <w:trHeight w:val="255"/>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Kode</w:t>
            </w:r>
          </w:p>
        </w:tc>
        <w:tc>
          <w:tcPr>
            <w:tcW w:w="2084" w:type="dxa"/>
            <w:tcBorders>
              <w:top w:val="single" w:sz="4" w:space="0" w:color="auto"/>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Item Data</w:t>
            </w:r>
          </w:p>
        </w:tc>
        <w:tc>
          <w:tcPr>
            <w:tcW w:w="123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Sumber Data</w:t>
            </w:r>
          </w:p>
        </w:tc>
        <w:tc>
          <w:tcPr>
            <w:tcW w:w="475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Sumber Dokumen Hukum dan Kebijakan</w:t>
            </w:r>
          </w:p>
        </w:tc>
        <w:tc>
          <w:tcPr>
            <w:tcW w:w="1676"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Kategori Data</w:t>
            </w:r>
          </w:p>
        </w:tc>
      </w:tr>
      <w:tr w:rsidR="009E7F44" w:rsidRPr="009E7F44" w:rsidTr="009E7F44">
        <w:trPr>
          <w:trHeight w:val="765"/>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AVb1</w:t>
            </w:r>
          </w:p>
        </w:tc>
        <w:tc>
          <w:tcPr>
            <w:tcW w:w="2084"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Informasi pelaksanaan kegiatan untuk memperjelas masukan publik atas suatu kasus</w:t>
            </w:r>
          </w:p>
        </w:tc>
        <w:tc>
          <w:tcPr>
            <w:tcW w:w="123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 </w:t>
            </w:r>
          </w:p>
        </w:tc>
        <w:tc>
          <w:tcPr>
            <w:tcW w:w="4753"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Tidak ditemukan aturan yang relevan</w:t>
            </w:r>
          </w:p>
        </w:tc>
        <w:tc>
          <w:tcPr>
            <w:tcW w:w="1676"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1</w:t>
            </w:r>
          </w:p>
        </w:tc>
      </w:tr>
      <w:tr w:rsidR="009E7F44" w:rsidRPr="009E7F44" w:rsidTr="009E7F44">
        <w:trPr>
          <w:trHeight w:val="1275"/>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AVb2</w:t>
            </w:r>
          </w:p>
        </w:tc>
        <w:tc>
          <w:tcPr>
            <w:tcW w:w="2084"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Mekanisme penerimaan pengaduan memudahkan bagi seluruh pihak (termasuk competitors) untuk menyampaikan pengaduan</w:t>
            </w:r>
          </w:p>
        </w:tc>
        <w:tc>
          <w:tcPr>
            <w:tcW w:w="123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 </w:t>
            </w:r>
          </w:p>
        </w:tc>
        <w:tc>
          <w:tcPr>
            <w:tcW w:w="4753"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Tidak ditemukan aturan yang relevan</w:t>
            </w:r>
          </w:p>
        </w:tc>
        <w:tc>
          <w:tcPr>
            <w:tcW w:w="1676"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1</w:t>
            </w:r>
          </w:p>
        </w:tc>
      </w:tr>
      <w:tr w:rsidR="009E7F44" w:rsidRPr="009E7F44" w:rsidTr="009E7F44">
        <w:trPr>
          <w:trHeight w:val="765"/>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AVb3</w:t>
            </w:r>
          </w:p>
        </w:tc>
        <w:tc>
          <w:tcPr>
            <w:tcW w:w="2084"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Dokumentasi setiap laporan pengaduan baik yang tertulis ataupun tidak</w:t>
            </w:r>
          </w:p>
        </w:tc>
        <w:tc>
          <w:tcPr>
            <w:tcW w:w="123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 </w:t>
            </w:r>
          </w:p>
        </w:tc>
        <w:tc>
          <w:tcPr>
            <w:tcW w:w="475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Tidak ditemukan aturan yang relevan, tapi berdasarkan wawancara dengan Kabid Kehutanan Aceh Tenggara terlihat upaya mendokumentasikan pengaduan, meski tidak sistematis</w:t>
            </w:r>
          </w:p>
        </w:tc>
        <w:tc>
          <w:tcPr>
            <w:tcW w:w="1676"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2</w:t>
            </w:r>
          </w:p>
        </w:tc>
      </w:tr>
      <w:tr w:rsidR="009E7F44" w:rsidRPr="009E7F44" w:rsidTr="009E7F44">
        <w:trPr>
          <w:trHeight w:val="102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AVb4</w:t>
            </w:r>
          </w:p>
        </w:tc>
        <w:tc>
          <w:tcPr>
            <w:tcW w:w="2084"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Mekanisme penerimaan pengaduan memiliki jangka waktu yang jelas atas respon yang akan diberikan</w:t>
            </w:r>
          </w:p>
        </w:tc>
        <w:tc>
          <w:tcPr>
            <w:tcW w:w="123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 </w:t>
            </w:r>
          </w:p>
        </w:tc>
        <w:tc>
          <w:tcPr>
            <w:tcW w:w="4753"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Tidak ditemukan aturan yang relevan</w:t>
            </w:r>
          </w:p>
        </w:tc>
        <w:tc>
          <w:tcPr>
            <w:tcW w:w="1676"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1</w:t>
            </w:r>
          </w:p>
        </w:tc>
      </w:tr>
      <w:tr w:rsidR="009E7F44" w:rsidRPr="009E7F44" w:rsidTr="009E7F44">
        <w:trPr>
          <w:trHeight w:val="102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AVb5</w:t>
            </w:r>
          </w:p>
        </w:tc>
        <w:tc>
          <w:tcPr>
            <w:tcW w:w="2084"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 xml:space="preserve">Mekanisme penerimaan pengaduan menawarkan kemudahan dan kejelasan pihak yang dikontak </w:t>
            </w:r>
          </w:p>
        </w:tc>
        <w:tc>
          <w:tcPr>
            <w:tcW w:w="123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 </w:t>
            </w:r>
          </w:p>
        </w:tc>
        <w:tc>
          <w:tcPr>
            <w:tcW w:w="4753"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Tidak ditemukan aturan yang relevan</w:t>
            </w:r>
          </w:p>
        </w:tc>
        <w:tc>
          <w:tcPr>
            <w:tcW w:w="1676"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1</w:t>
            </w:r>
          </w:p>
        </w:tc>
      </w:tr>
      <w:tr w:rsidR="009E7F44" w:rsidRPr="009E7F44" w:rsidTr="009E7F44">
        <w:trPr>
          <w:trHeight w:val="102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lastRenderedPageBreak/>
              <w:t>AVb6</w:t>
            </w:r>
          </w:p>
        </w:tc>
        <w:tc>
          <w:tcPr>
            <w:tcW w:w="2084"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Penunjukan satu petugas khusus yang bertanggungjawab mengelola masukan publik dalam proses pengawasan</w:t>
            </w:r>
          </w:p>
        </w:tc>
        <w:tc>
          <w:tcPr>
            <w:tcW w:w="123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 </w:t>
            </w:r>
          </w:p>
        </w:tc>
        <w:tc>
          <w:tcPr>
            <w:tcW w:w="4753"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Tidak ditemukan aturan yang relevan</w:t>
            </w:r>
          </w:p>
        </w:tc>
        <w:tc>
          <w:tcPr>
            <w:tcW w:w="1676"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1</w:t>
            </w:r>
          </w:p>
        </w:tc>
      </w:tr>
      <w:tr w:rsidR="009E7F44" w:rsidRPr="009E7F44" w:rsidTr="009E7F44">
        <w:trPr>
          <w:trHeight w:val="255"/>
        </w:trPr>
        <w:tc>
          <w:tcPr>
            <w:tcW w:w="1134"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2084"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1233"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4753"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1676"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p>
        </w:tc>
      </w:tr>
      <w:tr w:rsidR="009E7F44" w:rsidRPr="009E7F44" w:rsidTr="009E7F44">
        <w:trPr>
          <w:trHeight w:val="690"/>
        </w:trPr>
        <w:tc>
          <w:tcPr>
            <w:tcW w:w="1134"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Indikator</w:t>
            </w:r>
          </w:p>
        </w:tc>
        <w:tc>
          <w:tcPr>
            <w:tcW w:w="2084"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7662" w:type="dxa"/>
            <w:gridSpan w:val="3"/>
            <w:tcBorders>
              <w:top w:val="nil"/>
              <w:left w:val="nil"/>
              <w:bottom w:val="nil"/>
              <w:right w:val="nil"/>
            </w:tcBorders>
            <w:shd w:val="clear" w:color="auto" w:fill="auto"/>
            <w:vAlign w:val="center"/>
            <w:hideMark/>
          </w:tcPr>
          <w:p w:rsidR="009E7F44" w:rsidRPr="009E7F44" w:rsidRDefault="009E7F44" w:rsidP="009E7F44">
            <w:pPr>
              <w:spacing w:after="24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 xml:space="preserve">: c. Keberadaan dan komprehensiveness aturan yang mengatur program peningkatan kapasitas masyarakat dalam pengawasan pengelolaan hutan dan lahan gambut  </w:t>
            </w:r>
            <w:r w:rsidRPr="009E7F44">
              <w:rPr>
                <w:rFonts w:ascii="Times New Roman" w:eastAsia="Times New Roman" w:hAnsi="Times New Roman" w:cs="Times New Roman"/>
                <w:b/>
                <w:bCs/>
                <w:color w:val="000000"/>
                <w:sz w:val="20"/>
                <w:szCs w:val="20"/>
                <w:lang w:eastAsia="id-ID"/>
              </w:rPr>
              <w:br/>
            </w:r>
            <w:r w:rsidRPr="009E7F44">
              <w:rPr>
                <w:rFonts w:ascii="Times New Roman" w:eastAsia="Times New Roman" w:hAnsi="Times New Roman" w:cs="Times New Roman"/>
                <w:b/>
                <w:bCs/>
                <w:color w:val="000000"/>
                <w:sz w:val="20"/>
                <w:szCs w:val="20"/>
                <w:lang w:eastAsia="id-ID"/>
              </w:rPr>
              <w:br/>
            </w:r>
          </w:p>
        </w:tc>
      </w:tr>
      <w:tr w:rsidR="009E7F44" w:rsidRPr="009E7F44" w:rsidTr="009E7F44">
        <w:trPr>
          <w:trHeight w:val="255"/>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Kode</w:t>
            </w:r>
          </w:p>
        </w:tc>
        <w:tc>
          <w:tcPr>
            <w:tcW w:w="2084" w:type="dxa"/>
            <w:tcBorders>
              <w:top w:val="single" w:sz="4" w:space="0" w:color="auto"/>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Item Data</w:t>
            </w:r>
          </w:p>
        </w:tc>
        <w:tc>
          <w:tcPr>
            <w:tcW w:w="1233" w:type="dxa"/>
            <w:tcBorders>
              <w:top w:val="single" w:sz="4" w:space="0" w:color="auto"/>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Sumber Data</w:t>
            </w:r>
          </w:p>
        </w:tc>
        <w:tc>
          <w:tcPr>
            <w:tcW w:w="4753" w:type="dxa"/>
            <w:tcBorders>
              <w:top w:val="single" w:sz="4" w:space="0" w:color="auto"/>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Sumber Dokumen Hukum dan Kebijakan</w:t>
            </w:r>
          </w:p>
        </w:tc>
        <w:tc>
          <w:tcPr>
            <w:tcW w:w="1676" w:type="dxa"/>
            <w:tcBorders>
              <w:top w:val="single" w:sz="4" w:space="0" w:color="auto"/>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Kategori Data</w:t>
            </w:r>
          </w:p>
        </w:tc>
      </w:tr>
      <w:tr w:rsidR="009E7F44" w:rsidRPr="009E7F44" w:rsidTr="009E7F44">
        <w:trPr>
          <w:trHeight w:val="1275"/>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AVc1</w:t>
            </w:r>
          </w:p>
        </w:tc>
        <w:tc>
          <w:tcPr>
            <w:tcW w:w="2084"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Program pemerintah daerah dalam meningkatkan kapasitas masyarakat adat/lokal untuk turut berpartisipasi dalam proses pengawasan</w:t>
            </w:r>
          </w:p>
        </w:tc>
        <w:tc>
          <w:tcPr>
            <w:tcW w:w="123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BIRO HUKUM/ BAPPEDA</w:t>
            </w:r>
          </w:p>
        </w:tc>
        <w:tc>
          <w:tcPr>
            <w:tcW w:w="475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 xml:space="preserve">Pada sebagian masyarakat adat terdapat kearifan lokal yang memang menekankan untuk menjaga keseimbangan lingkungan sehingga masyarakat tidak melakukan eksploitasi sesuka hatinya. </w:t>
            </w:r>
          </w:p>
        </w:tc>
        <w:tc>
          <w:tcPr>
            <w:tcW w:w="1676"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1</w:t>
            </w:r>
          </w:p>
        </w:tc>
      </w:tr>
      <w:tr w:rsidR="009E7F44" w:rsidRPr="009E7F44" w:rsidTr="009E7F44">
        <w:trPr>
          <w:trHeight w:val="1275"/>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AVc2</w:t>
            </w:r>
          </w:p>
        </w:tc>
        <w:tc>
          <w:tcPr>
            <w:tcW w:w="2084"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Program pemerintahan yang lebih tinggi untuk meningkat-kan kapasitas pemerintahan yang lebih rendah dalam melakukan pengawasan</w:t>
            </w:r>
          </w:p>
        </w:tc>
        <w:tc>
          <w:tcPr>
            <w:tcW w:w="123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 </w:t>
            </w:r>
          </w:p>
        </w:tc>
        <w:tc>
          <w:tcPr>
            <w:tcW w:w="4753"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Tidak ditemukan regulasi yang relevan</w:t>
            </w:r>
          </w:p>
        </w:tc>
        <w:tc>
          <w:tcPr>
            <w:tcW w:w="1676"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1</w:t>
            </w:r>
          </w:p>
        </w:tc>
      </w:tr>
      <w:tr w:rsidR="009E7F44" w:rsidRPr="009E7F44" w:rsidTr="009E7F44">
        <w:trPr>
          <w:trHeight w:val="255"/>
        </w:trPr>
        <w:tc>
          <w:tcPr>
            <w:tcW w:w="1134"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2084"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1233"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4753"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1676"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p>
        </w:tc>
      </w:tr>
      <w:tr w:rsidR="009E7F44" w:rsidRPr="009E7F44" w:rsidTr="009E7F44">
        <w:trPr>
          <w:trHeight w:val="690"/>
        </w:trPr>
        <w:tc>
          <w:tcPr>
            <w:tcW w:w="1134"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Indikator</w:t>
            </w:r>
          </w:p>
        </w:tc>
        <w:tc>
          <w:tcPr>
            <w:tcW w:w="2084"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7662" w:type="dxa"/>
            <w:gridSpan w:val="3"/>
            <w:tcBorders>
              <w:top w:val="nil"/>
              <w:left w:val="nil"/>
              <w:bottom w:val="nil"/>
              <w:right w:val="nil"/>
            </w:tcBorders>
            <w:shd w:val="clear" w:color="auto" w:fill="auto"/>
            <w:vAlign w:val="center"/>
            <w:hideMark/>
          </w:tcPr>
          <w:p w:rsidR="009E7F44" w:rsidRPr="009E7F44" w:rsidRDefault="009E7F44" w:rsidP="009E7F44">
            <w:pPr>
              <w:spacing w:after="24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 d. Keberadaan dan komprehensiveness aturan yang mengatur mekanisme penindaklanjutan temuan penyelewengan/indikasi korupsi yang responsif</w:t>
            </w:r>
            <w:r w:rsidRPr="009E7F44">
              <w:rPr>
                <w:rFonts w:ascii="Times New Roman" w:eastAsia="Times New Roman" w:hAnsi="Times New Roman" w:cs="Times New Roman"/>
                <w:b/>
                <w:bCs/>
                <w:color w:val="000000"/>
                <w:sz w:val="20"/>
                <w:szCs w:val="20"/>
                <w:lang w:eastAsia="id-ID"/>
              </w:rPr>
              <w:br/>
            </w:r>
            <w:r w:rsidRPr="009E7F44">
              <w:rPr>
                <w:rFonts w:ascii="Times New Roman" w:eastAsia="Times New Roman" w:hAnsi="Times New Roman" w:cs="Times New Roman"/>
                <w:b/>
                <w:bCs/>
                <w:color w:val="000000"/>
                <w:sz w:val="20"/>
                <w:szCs w:val="20"/>
                <w:lang w:eastAsia="id-ID"/>
              </w:rPr>
              <w:br/>
            </w:r>
            <w:r w:rsidRPr="009E7F44">
              <w:rPr>
                <w:rFonts w:ascii="Times New Roman" w:eastAsia="Times New Roman" w:hAnsi="Times New Roman" w:cs="Times New Roman"/>
                <w:b/>
                <w:bCs/>
                <w:color w:val="000000"/>
                <w:sz w:val="20"/>
                <w:szCs w:val="20"/>
                <w:lang w:eastAsia="id-ID"/>
              </w:rPr>
              <w:br/>
            </w:r>
          </w:p>
        </w:tc>
      </w:tr>
      <w:tr w:rsidR="009E7F44" w:rsidRPr="009E7F44" w:rsidTr="009E7F44">
        <w:trPr>
          <w:trHeight w:val="255"/>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Kode</w:t>
            </w:r>
          </w:p>
        </w:tc>
        <w:tc>
          <w:tcPr>
            <w:tcW w:w="2084" w:type="dxa"/>
            <w:tcBorders>
              <w:top w:val="single" w:sz="4" w:space="0" w:color="auto"/>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Item Data</w:t>
            </w:r>
          </w:p>
        </w:tc>
        <w:tc>
          <w:tcPr>
            <w:tcW w:w="1233" w:type="dxa"/>
            <w:tcBorders>
              <w:top w:val="single" w:sz="4" w:space="0" w:color="auto"/>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Sumber Data</w:t>
            </w:r>
          </w:p>
        </w:tc>
        <w:tc>
          <w:tcPr>
            <w:tcW w:w="4753" w:type="dxa"/>
            <w:tcBorders>
              <w:top w:val="single" w:sz="4" w:space="0" w:color="auto"/>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Sumber Dokumen Hukum dan Kebijakan</w:t>
            </w:r>
          </w:p>
        </w:tc>
        <w:tc>
          <w:tcPr>
            <w:tcW w:w="1676" w:type="dxa"/>
            <w:tcBorders>
              <w:top w:val="single" w:sz="4" w:space="0" w:color="auto"/>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Kategori Data</w:t>
            </w:r>
          </w:p>
        </w:tc>
      </w:tr>
      <w:tr w:rsidR="009E7F44" w:rsidRPr="009E7F44" w:rsidTr="009E7F44">
        <w:trPr>
          <w:trHeight w:val="765"/>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AVd1</w:t>
            </w:r>
          </w:p>
        </w:tc>
        <w:tc>
          <w:tcPr>
            <w:tcW w:w="2084"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Pelaksanaan perbaikan sistem secara partisipatif dari rekomendasi BPK dan KPK</w:t>
            </w:r>
          </w:p>
        </w:tc>
        <w:tc>
          <w:tcPr>
            <w:tcW w:w="1233"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 </w:t>
            </w:r>
          </w:p>
        </w:tc>
        <w:tc>
          <w:tcPr>
            <w:tcW w:w="4753"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Tidak ditemukan aturan yang relevan</w:t>
            </w:r>
          </w:p>
        </w:tc>
        <w:tc>
          <w:tcPr>
            <w:tcW w:w="1676"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1</w:t>
            </w:r>
          </w:p>
        </w:tc>
      </w:tr>
      <w:tr w:rsidR="009E7F44" w:rsidRPr="009E7F44" w:rsidTr="009E7F44">
        <w:trPr>
          <w:trHeight w:val="255"/>
        </w:trPr>
        <w:tc>
          <w:tcPr>
            <w:tcW w:w="1134"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2084"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1233"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4753"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1676"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p>
        </w:tc>
      </w:tr>
      <w:tr w:rsidR="009E7F44" w:rsidRPr="009E7F44" w:rsidTr="009E7F44">
        <w:trPr>
          <w:trHeight w:val="690"/>
        </w:trPr>
        <w:tc>
          <w:tcPr>
            <w:tcW w:w="1134"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Indikator</w:t>
            </w:r>
          </w:p>
        </w:tc>
        <w:tc>
          <w:tcPr>
            <w:tcW w:w="2084"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7662" w:type="dxa"/>
            <w:gridSpan w:val="3"/>
            <w:tcBorders>
              <w:top w:val="nil"/>
              <w:left w:val="nil"/>
              <w:bottom w:val="nil"/>
              <w:right w:val="nil"/>
            </w:tcBorders>
            <w:shd w:val="clear" w:color="auto" w:fill="auto"/>
            <w:vAlign w:val="center"/>
            <w:hideMark/>
          </w:tcPr>
          <w:p w:rsidR="009E7F44" w:rsidRPr="009E7F44" w:rsidRDefault="009E7F44" w:rsidP="009E7F44">
            <w:pPr>
              <w:spacing w:after="24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 e. Keberadaan dan komprehensiveness aturan yang mengatur mekanisme multi door approach dalam penyelesaian kasus-kasus kejahatan kehutanan</w:t>
            </w:r>
            <w:r w:rsidRPr="009E7F44">
              <w:rPr>
                <w:rFonts w:ascii="Times New Roman" w:eastAsia="Times New Roman" w:hAnsi="Times New Roman" w:cs="Times New Roman"/>
                <w:b/>
                <w:bCs/>
                <w:color w:val="000000"/>
                <w:sz w:val="20"/>
                <w:szCs w:val="20"/>
                <w:lang w:eastAsia="id-ID"/>
              </w:rPr>
              <w:br/>
            </w:r>
            <w:r w:rsidRPr="009E7F44">
              <w:rPr>
                <w:rFonts w:ascii="Times New Roman" w:eastAsia="Times New Roman" w:hAnsi="Times New Roman" w:cs="Times New Roman"/>
                <w:b/>
                <w:bCs/>
                <w:color w:val="000000"/>
                <w:sz w:val="20"/>
                <w:szCs w:val="20"/>
                <w:lang w:eastAsia="id-ID"/>
              </w:rPr>
              <w:br/>
            </w:r>
            <w:r w:rsidRPr="009E7F44">
              <w:rPr>
                <w:rFonts w:ascii="Times New Roman" w:eastAsia="Times New Roman" w:hAnsi="Times New Roman" w:cs="Times New Roman"/>
                <w:b/>
                <w:bCs/>
                <w:color w:val="000000"/>
                <w:sz w:val="20"/>
                <w:szCs w:val="20"/>
                <w:lang w:eastAsia="id-ID"/>
              </w:rPr>
              <w:br/>
            </w:r>
            <w:r w:rsidRPr="009E7F44">
              <w:rPr>
                <w:rFonts w:ascii="Times New Roman" w:eastAsia="Times New Roman" w:hAnsi="Times New Roman" w:cs="Times New Roman"/>
                <w:b/>
                <w:bCs/>
                <w:color w:val="000000"/>
                <w:sz w:val="20"/>
                <w:szCs w:val="20"/>
                <w:lang w:eastAsia="id-ID"/>
              </w:rPr>
              <w:br/>
            </w:r>
          </w:p>
        </w:tc>
      </w:tr>
      <w:tr w:rsidR="009E7F44" w:rsidRPr="009E7F44" w:rsidTr="009E7F44">
        <w:trPr>
          <w:trHeight w:val="390"/>
        </w:trPr>
        <w:tc>
          <w:tcPr>
            <w:tcW w:w="3218" w:type="dxa"/>
            <w:gridSpan w:val="2"/>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Sumber Data</w:t>
            </w:r>
          </w:p>
        </w:tc>
        <w:tc>
          <w:tcPr>
            <w:tcW w:w="7662" w:type="dxa"/>
            <w:gridSpan w:val="3"/>
            <w:tcBorders>
              <w:top w:val="nil"/>
              <w:left w:val="nil"/>
              <w:bottom w:val="single" w:sz="4" w:space="0" w:color="auto"/>
              <w:right w:val="nil"/>
            </w:tcBorders>
            <w:shd w:val="clear" w:color="auto" w:fill="auto"/>
            <w:vAlign w:val="center"/>
            <w:hideMark/>
          </w:tcPr>
          <w:p w:rsidR="009E7F44" w:rsidRPr="009E7F44" w:rsidRDefault="009E7F44" w:rsidP="009E7F44">
            <w:pPr>
              <w:spacing w:after="24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 aturan KLH-kehutanan (satgas illegal loging)</w:t>
            </w:r>
          </w:p>
        </w:tc>
      </w:tr>
      <w:tr w:rsidR="009E7F44" w:rsidRPr="009E7F44" w:rsidTr="009E7F44">
        <w:trPr>
          <w:trHeight w:val="255"/>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Kode</w:t>
            </w:r>
          </w:p>
        </w:tc>
        <w:tc>
          <w:tcPr>
            <w:tcW w:w="2084" w:type="dxa"/>
            <w:tcBorders>
              <w:top w:val="single" w:sz="4" w:space="0" w:color="auto"/>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Item Data</w:t>
            </w:r>
          </w:p>
        </w:tc>
        <w:tc>
          <w:tcPr>
            <w:tcW w:w="123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Sumber Data</w:t>
            </w:r>
          </w:p>
        </w:tc>
        <w:tc>
          <w:tcPr>
            <w:tcW w:w="475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Sumber Dokumen Hukum dan Kebijakan</w:t>
            </w:r>
          </w:p>
        </w:tc>
        <w:tc>
          <w:tcPr>
            <w:tcW w:w="1676"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Kategori Data</w:t>
            </w:r>
          </w:p>
        </w:tc>
      </w:tr>
      <w:tr w:rsidR="009E7F44" w:rsidRPr="009E7F44" w:rsidTr="009E7F44">
        <w:trPr>
          <w:trHeight w:val="1275"/>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AVe1</w:t>
            </w:r>
          </w:p>
        </w:tc>
        <w:tc>
          <w:tcPr>
            <w:tcW w:w="2084"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 xml:space="preserve">Pendekatan multi-door ap-proach antara lain terdiri dari pendekatan pidana korupsi, anti money laundering, pidana pajak, dan pidana lingkungan </w:t>
            </w:r>
            <w:r w:rsidRPr="009E7F44">
              <w:rPr>
                <w:rFonts w:ascii="Times New Roman" w:eastAsia="Times New Roman" w:hAnsi="Times New Roman" w:cs="Times New Roman"/>
                <w:color w:val="000000"/>
                <w:sz w:val="20"/>
                <w:szCs w:val="20"/>
                <w:lang w:eastAsia="id-ID"/>
              </w:rPr>
              <w:lastRenderedPageBreak/>
              <w:t>hidup</w:t>
            </w:r>
          </w:p>
        </w:tc>
        <w:tc>
          <w:tcPr>
            <w:tcW w:w="123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lastRenderedPageBreak/>
              <w:t> </w:t>
            </w:r>
          </w:p>
        </w:tc>
        <w:tc>
          <w:tcPr>
            <w:tcW w:w="4753"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Tidak ditemukan regulasi yang relevan</w:t>
            </w:r>
          </w:p>
        </w:tc>
        <w:tc>
          <w:tcPr>
            <w:tcW w:w="1676"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1</w:t>
            </w:r>
          </w:p>
        </w:tc>
      </w:tr>
      <w:tr w:rsidR="009E7F44" w:rsidRPr="009E7F44" w:rsidTr="009E7F44">
        <w:trPr>
          <w:trHeight w:val="255"/>
        </w:trPr>
        <w:tc>
          <w:tcPr>
            <w:tcW w:w="1134"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2084"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1233"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4753"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1676"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p>
        </w:tc>
      </w:tr>
      <w:tr w:rsidR="009E7F44" w:rsidRPr="009E7F44" w:rsidTr="009E7F44">
        <w:trPr>
          <w:trHeight w:val="330"/>
        </w:trPr>
        <w:tc>
          <w:tcPr>
            <w:tcW w:w="3218" w:type="dxa"/>
            <w:gridSpan w:val="2"/>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Isu dalam PGA REDD+</w:t>
            </w:r>
          </w:p>
        </w:tc>
        <w:tc>
          <w:tcPr>
            <w:tcW w:w="5986" w:type="dxa"/>
            <w:gridSpan w:val="2"/>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  IV. Infrastruktur REDD+</w:t>
            </w:r>
          </w:p>
        </w:tc>
        <w:tc>
          <w:tcPr>
            <w:tcW w:w="1676"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p>
        </w:tc>
      </w:tr>
      <w:tr w:rsidR="009E7F44" w:rsidRPr="009E7F44" w:rsidTr="009E7F44">
        <w:trPr>
          <w:trHeight w:val="765"/>
        </w:trPr>
        <w:tc>
          <w:tcPr>
            <w:tcW w:w="1134"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Indikator</w:t>
            </w:r>
          </w:p>
        </w:tc>
        <w:tc>
          <w:tcPr>
            <w:tcW w:w="2084"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7662" w:type="dxa"/>
            <w:gridSpan w:val="3"/>
            <w:tcBorders>
              <w:top w:val="nil"/>
              <w:left w:val="nil"/>
              <w:bottom w:val="nil"/>
              <w:right w:val="nil"/>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 a. Keberadaan dan komprehensiveness aturan yang mengatur transparansi dalam pengembangan kebijakan dan kelembagaan REDD+</w:t>
            </w:r>
          </w:p>
        </w:tc>
      </w:tr>
      <w:tr w:rsidR="009E7F44" w:rsidRPr="009E7F44" w:rsidTr="009E7F44">
        <w:trPr>
          <w:trHeight w:val="390"/>
        </w:trPr>
        <w:tc>
          <w:tcPr>
            <w:tcW w:w="3218" w:type="dxa"/>
            <w:gridSpan w:val="2"/>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Sumber Data</w:t>
            </w:r>
          </w:p>
        </w:tc>
        <w:tc>
          <w:tcPr>
            <w:tcW w:w="7662" w:type="dxa"/>
            <w:gridSpan w:val="3"/>
            <w:tcBorders>
              <w:top w:val="nil"/>
              <w:left w:val="nil"/>
              <w:bottom w:val="single" w:sz="4" w:space="0" w:color="auto"/>
              <w:right w:val="nil"/>
            </w:tcBorders>
            <w:shd w:val="clear" w:color="auto" w:fill="auto"/>
            <w:vAlign w:val="center"/>
            <w:hideMark/>
          </w:tcPr>
          <w:p w:rsidR="009E7F44" w:rsidRPr="009E7F44" w:rsidRDefault="009E7F44" w:rsidP="009E7F44">
            <w:pPr>
              <w:spacing w:after="24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 (UKP4, Permenhut, Perda/SK Gub/Bup)</w:t>
            </w:r>
            <w:r w:rsidRPr="009E7F44">
              <w:rPr>
                <w:rFonts w:ascii="Times New Roman" w:eastAsia="Times New Roman" w:hAnsi="Times New Roman" w:cs="Times New Roman"/>
                <w:b/>
                <w:bCs/>
                <w:color w:val="000000"/>
                <w:sz w:val="20"/>
                <w:szCs w:val="20"/>
                <w:lang w:eastAsia="id-ID"/>
              </w:rPr>
              <w:br/>
            </w:r>
          </w:p>
        </w:tc>
      </w:tr>
      <w:tr w:rsidR="009E7F44" w:rsidRPr="009E7F44" w:rsidTr="009E7F44">
        <w:trPr>
          <w:trHeight w:val="255"/>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Kode</w:t>
            </w:r>
          </w:p>
        </w:tc>
        <w:tc>
          <w:tcPr>
            <w:tcW w:w="2084" w:type="dxa"/>
            <w:tcBorders>
              <w:top w:val="single" w:sz="4" w:space="0" w:color="auto"/>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Item Data</w:t>
            </w:r>
          </w:p>
        </w:tc>
        <w:tc>
          <w:tcPr>
            <w:tcW w:w="123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Sumber Data</w:t>
            </w:r>
          </w:p>
        </w:tc>
        <w:tc>
          <w:tcPr>
            <w:tcW w:w="475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Sumber Dokumen Hukum dan Kebijakan</w:t>
            </w:r>
          </w:p>
        </w:tc>
        <w:tc>
          <w:tcPr>
            <w:tcW w:w="1676"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Kategori Data</w:t>
            </w:r>
          </w:p>
        </w:tc>
      </w:tr>
      <w:tr w:rsidR="009E7F44" w:rsidRPr="009E7F44" w:rsidTr="009E7F44">
        <w:trPr>
          <w:trHeight w:val="1275"/>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AVIa1</w:t>
            </w:r>
          </w:p>
        </w:tc>
        <w:tc>
          <w:tcPr>
            <w:tcW w:w="2084"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Ketersediaan seluruh informasi dalam kaitannya dengan proses pembentukan infrastruktur, pelaksanaan dan pengawasan REDD+</w:t>
            </w:r>
          </w:p>
        </w:tc>
        <w:tc>
          <w:tcPr>
            <w:tcW w:w="123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 </w:t>
            </w:r>
          </w:p>
        </w:tc>
        <w:tc>
          <w:tcPr>
            <w:tcW w:w="475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Tidak ditemukan aturan yang relevan. Belum pernah menerbitkan aturan yang terkait dengan implementasi REDD</w:t>
            </w:r>
          </w:p>
        </w:tc>
        <w:tc>
          <w:tcPr>
            <w:tcW w:w="1676"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1</w:t>
            </w:r>
          </w:p>
        </w:tc>
      </w:tr>
      <w:tr w:rsidR="009E7F44" w:rsidRPr="009E7F44" w:rsidTr="009E7F44">
        <w:trPr>
          <w:trHeight w:val="102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AVIa2</w:t>
            </w:r>
          </w:p>
        </w:tc>
        <w:tc>
          <w:tcPr>
            <w:tcW w:w="2084"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Kewajiban agar Badan Publik memiliki petugas khusus yang menangani permintaan informasi publik</w:t>
            </w:r>
          </w:p>
        </w:tc>
        <w:tc>
          <w:tcPr>
            <w:tcW w:w="123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 </w:t>
            </w:r>
          </w:p>
        </w:tc>
        <w:tc>
          <w:tcPr>
            <w:tcW w:w="475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Tidak ditemukan aturan yang relevan. Belum pernah menerbitkan aturan yang terkait dengan implementasi REDD</w:t>
            </w:r>
          </w:p>
        </w:tc>
        <w:tc>
          <w:tcPr>
            <w:tcW w:w="1676"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1</w:t>
            </w:r>
          </w:p>
        </w:tc>
      </w:tr>
      <w:tr w:rsidR="009E7F44" w:rsidRPr="009E7F44" w:rsidTr="009E7F44">
        <w:trPr>
          <w:trHeight w:val="765"/>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AVIa3</w:t>
            </w:r>
          </w:p>
        </w:tc>
        <w:tc>
          <w:tcPr>
            <w:tcW w:w="2084"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Pemberian akses bagi publik baik secara proaktif maupun berdasarkan permintaan</w:t>
            </w:r>
          </w:p>
        </w:tc>
        <w:tc>
          <w:tcPr>
            <w:tcW w:w="123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 </w:t>
            </w:r>
          </w:p>
        </w:tc>
        <w:tc>
          <w:tcPr>
            <w:tcW w:w="475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Tidak ditemukan aturan yang relevan. Belum pernah menerbitkan aturan yang terkait dengan implementasi REDD</w:t>
            </w:r>
          </w:p>
        </w:tc>
        <w:tc>
          <w:tcPr>
            <w:tcW w:w="1676"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1</w:t>
            </w:r>
          </w:p>
        </w:tc>
      </w:tr>
      <w:tr w:rsidR="009E7F44" w:rsidRPr="009E7F44" w:rsidTr="009E7F44">
        <w:trPr>
          <w:trHeight w:val="1275"/>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AVIa4</w:t>
            </w:r>
          </w:p>
        </w:tc>
        <w:tc>
          <w:tcPr>
            <w:tcW w:w="2084"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Batasan atas informasi yg dapat diakses diatur dengan jelas dan didasarkan pada kepentingan publik (balancing public interest test)</w:t>
            </w:r>
          </w:p>
        </w:tc>
        <w:tc>
          <w:tcPr>
            <w:tcW w:w="123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 </w:t>
            </w:r>
          </w:p>
        </w:tc>
        <w:tc>
          <w:tcPr>
            <w:tcW w:w="475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Tidak ditemukan aturan yang relevan. Belum pernah menerbitkan aturan yang terkait dengan implementasi REDD</w:t>
            </w:r>
          </w:p>
        </w:tc>
        <w:tc>
          <w:tcPr>
            <w:tcW w:w="1676"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1</w:t>
            </w:r>
          </w:p>
        </w:tc>
      </w:tr>
      <w:tr w:rsidR="009E7F44" w:rsidRPr="009E7F44" w:rsidTr="009E7F44">
        <w:trPr>
          <w:trHeight w:val="765"/>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AVIa5</w:t>
            </w:r>
          </w:p>
        </w:tc>
        <w:tc>
          <w:tcPr>
            <w:tcW w:w="2084"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Sanksi bagi pihak-pihak yang sengaja menghambat akses publik atas informasi</w:t>
            </w:r>
          </w:p>
        </w:tc>
        <w:tc>
          <w:tcPr>
            <w:tcW w:w="123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 </w:t>
            </w:r>
          </w:p>
        </w:tc>
        <w:tc>
          <w:tcPr>
            <w:tcW w:w="475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Tidak ditemukan aturan yang relevan. Belum pernah menerbitkan aturan yang terkait dengan implementasi REDD</w:t>
            </w:r>
          </w:p>
        </w:tc>
        <w:tc>
          <w:tcPr>
            <w:tcW w:w="1676"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1</w:t>
            </w:r>
          </w:p>
        </w:tc>
      </w:tr>
      <w:tr w:rsidR="009E7F44" w:rsidRPr="009E7F44" w:rsidTr="009E7F44">
        <w:trPr>
          <w:trHeight w:val="255"/>
        </w:trPr>
        <w:tc>
          <w:tcPr>
            <w:tcW w:w="1134"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2084"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1233"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4753"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1676"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p>
        </w:tc>
      </w:tr>
      <w:tr w:rsidR="009E7F44" w:rsidRPr="009E7F44" w:rsidTr="009E7F44">
        <w:trPr>
          <w:trHeight w:val="765"/>
        </w:trPr>
        <w:tc>
          <w:tcPr>
            <w:tcW w:w="1134"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Indikator</w:t>
            </w:r>
          </w:p>
        </w:tc>
        <w:tc>
          <w:tcPr>
            <w:tcW w:w="2084"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7662" w:type="dxa"/>
            <w:gridSpan w:val="3"/>
            <w:tcBorders>
              <w:top w:val="nil"/>
              <w:left w:val="nil"/>
              <w:bottom w:val="nil"/>
              <w:right w:val="nil"/>
            </w:tcBorders>
            <w:shd w:val="clear" w:color="auto" w:fill="auto"/>
            <w:vAlign w:val="center"/>
            <w:hideMark/>
          </w:tcPr>
          <w:p w:rsidR="009E7F44" w:rsidRPr="009E7F44" w:rsidRDefault="009E7F44" w:rsidP="009E7F44">
            <w:pPr>
              <w:spacing w:after="24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 b. Keberadaan dan komprehensiveness aturan yang mengatur penyusunan kebijakan dan kelembagaan REDD+ yang obyektif dan transparan</w:t>
            </w:r>
          </w:p>
        </w:tc>
      </w:tr>
      <w:tr w:rsidR="009E7F44" w:rsidRPr="009E7F44" w:rsidTr="009E7F44">
        <w:trPr>
          <w:trHeight w:val="255"/>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Kode</w:t>
            </w:r>
          </w:p>
        </w:tc>
        <w:tc>
          <w:tcPr>
            <w:tcW w:w="2084" w:type="dxa"/>
            <w:tcBorders>
              <w:top w:val="single" w:sz="4" w:space="0" w:color="auto"/>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Item Data</w:t>
            </w:r>
          </w:p>
        </w:tc>
        <w:tc>
          <w:tcPr>
            <w:tcW w:w="1233" w:type="dxa"/>
            <w:tcBorders>
              <w:top w:val="single" w:sz="4" w:space="0" w:color="auto"/>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Sumber Data</w:t>
            </w:r>
          </w:p>
        </w:tc>
        <w:tc>
          <w:tcPr>
            <w:tcW w:w="4753" w:type="dxa"/>
            <w:tcBorders>
              <w:top w:val="single" w:sz="4" w:space="0" w:color="auto"/>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Sumber Dokumen Hukum dan Kebijakan</w:t>
            </w:r>
          </w:p>
        </w:tc>
        <w:tc>
          <w:tcPr>
            <w:tcW w:w="1676" w:type="dxa"/>
            <w:tcBorders>
              <w:top w:val="single" w:sz="4" w:space="0" w:color="auto"/>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Kategori Data</w:t>
            </w:r>
          </w:p>
        </w:tc>
      </w:tr>
      <w:tr w:rsidR="009E7F44" w:rsidRPr="009E7F44" w:rsidTr="009E7F44">
        <w:trPr>
          <w:trHeight w:val="153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AVIb1</w:t>
            </w:r>
          </w:p>
        </w:tc>
        <w:tc>
          <w:tcPr>
            <w:tcW w:w="2084"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Penyampaian informasi atas rencana pembentukan peraturan/kebijakan terkait REDD+ kepada seluruh pihak yg memiliki hak serta pihak yg berkepentingan</w:t>
            </w:r>
          </w:p>
        </w:tc>
        <w:tc>
          <w:tcPr>
            <w:tcW w:w="123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 </w:t>
            </w:r>
          </w:p>
        </w:tc>
        <w:tc>
          <w:tcPr>
            <w:tcW w:w="475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Tidak ditemukan aturan yang relevan. Belum pernah menerbitkan aturan yang terkait dengan implementasi REDD</w:t>
            </w:r>
          </w:p>
        </w:tc>
        <w:tc>
          <w:tcPr>
            <w:tcW w:w="1676"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1</w:t>
            </w:r>
          </w:p>
        </w:tc>
      </w:tr>
      <w:tr w:rsidR="009E7F44" w:rsidRPr="009E7F44" w:rsidTr="009E7F44">
        <w:trPr>
          <w:trHeight w:val="1275"/>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lastRenderedPageBreak/>
              <w:t>AVIb2</w:t>
            </w:r>
          </w:p>
        </w:tc>
        <w:tc>
          <w:tcPr>
            <w:tcW w:w="2084"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Mekanisme yang memudahkan bagi seluruh pihak yang berkepentingan untuk dapat terlibat dalam proses pengambilan keputusan</w:t>
            </w:r>
          </w:p>
        </w:tc>
        <w:tc>
          <w:tcPr>
            <w:tcW w:w="123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 </w:t>
            </w:r>
          </w:p>
        </w:tc>
        <w:tc>
          <w:tcPr>
            <w:tcW w:w="475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Tidak ditemukan aturan yang relevan. Belum pernah menerbitkan aturan yang terkait dengan implementasi REDD</w:t>
            </w:r>
          </w:p>
        </w:tc>
        <w:tc>
          <w:tcPr>
            <w:tcW w:w="1676"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1</w:t>
            </w:r>
          </w:p>
        </w:tc>
      </w:tr>
      <w:tr w:rsidR="009E7F44" w:rsidRPr="009E7F44" w:rsidTr="009E7F44">
        <w:trPr>
          <w:trHeight w:val="1275"/>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AVIb3</w:t>
            </w:r>
          </w:p>
        </w:tc>
        <w:tc>
          <w:tcPr>
            <w:tcW w:w="2084"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Penunjukan satu petugas khusus yang bertanggungjawab mengelola masukan publik dalam proses pembentukan kebijakan terkait REDD+;</w:t>
            </w:r>
          </w:p>
        </w:tc>
        <w:tc>
          <w:tcPr>
            <w:tcW w:w="123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 </w:t>
            </w:r>
          </w:p>
        </w:tc>
        <w:tc>
          <w:tcPr>
            <w:tcW w:w="475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Tidak ditemukan aturan yang relevan. Belum pernah menerbitkan aturan yang terkait dengan implementasi REDD</w:t>
            </w:r>
          </w:p>
        </w:tc>
        <w:tc>
          <w:tcPr>
            <w:tcW w:w="1676"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1</w:t>
            </w:r>
          </w:p>
        </w:tc>
      </w:tr>
      <w:tr w:rsidR="009E7F44" w:rsidRPr="009E7F44" w:rsidTr="009E7F44">
        <w:trPr>
          <w:trHeight w:val="51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AVIb4</w:t>
            </w:r>
          </w:p>
        </w:tc>
        <w:tc>
          <w:tcPr>
            <w:tcW w:w="2084"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Dokumentasi setiap masukan baik yang tertulis ataupun tidak</w:t>
            </w:r>
          </w:p>
        </w:tc>
        <w:tc>
          <w:tcPr>
            <w:tcW w:w="123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 </w:t>
            </w:r>
          </w:p>
        </w:tc>
        <w:tc>
          <w:tcPr>
            <w:tcW w:w="475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Tidak ditemukan aturan yang relevan. Belum pernah menerbitkan aturan yang terkait dengan implementasi REDD</w:t>
            </w:r>
          </w:p>
        </w:tc>
        <w:tc>
          <w:tcPr>
            <w:tcW w:w="1676"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1</w:t>
            </w:r>
          </w:p>
        </w:tc>
      </w:tr>
      <w:tr w:rsidR="009E7F44" w:rsidRPr="009E7F44" w:rsidTr="009E7F44">
        <w:trPr>
          <w:trHeight w:val="1512"/>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AVIb5</w:t>
            </w:r>
          </w:p>
        </w:tc>
        <w:tc>
          <w:tcPr>
            <w:tcW w:w="2084"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Pemberian respon yang bersifat terbuka atas setiap masukan yang ada (metode umpan balik)</w:t>
            </w:r>
          </w:p>
        </w:tc>
        <w:tc>
          <w:tcPr>
            <w:tcW w:w="123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 </w:t>
            </w:r>
          </w:p>
        </w:tc>
        <w:tc>
          <w:tcPr>
            <w:tcW w:w="4753"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Tidak ada aturannya makanya anggarannya tidak ada</w:t>
            </w:r>
          </w:p>
        </w:tc>
        <w:tc>
          <w:tcPr>
            <w:tcW w:w="1676"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1</w:t>
            </w:r>
          </w:p>
        </w:tc>
      </w:tr>
      <w:tr w:rsidR="009E7F44" w:rsidRPr="009E7F44" w:rsidTr="009E7F44">
        <w:trPr>
          <w:trHeight w:val="51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AVIb6</w:t>
            </w:r>
          </w:p>
        </w:tc>
        <w:tc>
          <w:tcPr>
            <w:tcW w:w="2084"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Penjelasan atas keputusan akhir yang diambil</w:t>
            </w:r>
          </w:p>
        </w:tc>
        <w:tc>
          <w:tcPr>
            <w:tcW w:w="123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 </w:t>
            </w:r>
          </w:p>
        </w:tc>
        <w:tc>
          <w:tcPr>
            <w:tcW w:w="4753"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Tidak ada aturannya makanya anggarannya tidak ada</w:t>
            </w:r>
          </w:p>
        </w:tc>
        <w:tc>
          <w:tcPr>
            <w:tcW w:w="1676"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1</w:t>
            </w:r>
          </w:p>
        </w:tc>
      </w:tr>
      <w:tr w:rsidR="009E7F44" w:rsidRPr="009E7F44" w:rsidTr="009E7F44">
        <w:trPr>
          <w:trHeight w:val="765"/>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AVIb7</w:t>
            </w:r>
          </w:p>
        </w:tc>
        <w:tc>
          <w:tcPr>
            <w:tcW w:w="2084"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Pelaksanakan seluruh proses partisipasi dalam waktu yang cukup, (minimum 45 hari kerja)</w:t>
            </w:r>
          </w:p>
        </w:tc>
        <w:tc>
          <w:tcPr>
            <w:tcW w:w="123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 </w:t>
            </w:r>
          </w:p>
        </w:tc>
        <w:tc>
          <w:tcPr>
            <w:tcW w:w="4753"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Tidak ada aturannya makanya anggarannya tidak ada</w:t>
            </w:r>
          </w:p>
        </w:tc>
        <w:tc>
          <w:tcPr>
            <w:tcW w:w="1676"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1</w:t>
            </w:r>
          </w:p>
        </w:tc>
      </w:tr>
      <w:tr w:rsidR="009E7F44" w:rsidRPr="009E7F44" w:rsidTr="009E7F44">
        <w:trPr>
          <w:trHeight w:val="255"/>
        </w:trPr>
        <w:tc>
          <w:tcPr>
            <w:tcW w:w="1134"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2084"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1233"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4753"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1676"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p>
        </w:tc>
      </w:tr>
      <w:tr w:rsidR="009E7F44" w:rsidRPr="009E7F44" w:rsidTr="009E7F44">
        <w:trPr>
          <w:trHeight w:val="765"/>
        </w:trPr>
        <w:tc>
          <w:tcPr>
            <w:tcW w:w="1134"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Indikator</w:t>
            </w:r>
          </w:p>
        </w:tc>
        <w:tc>
          <w:tcPr>
            <w:tcW w:w="2084"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7662" w:type="dxa"/>
            <w:gridSpan w:val="3"/>
            <w:tcBorders>
              <w:top w:val="nil"/>
              <w:left w:val="nil"/>
              <w:bottom w:val="nil"/>
              <w:right w:val="nil"/>
            </w:tcBorders>
            <w:shd w:val="clear" w:color="auto" w:fill="auto"/>
            <w:vAlign w:val="center"/>
            <w:hideMark/>
          </w:tcPr>
          <w:p w:rsidR="009E7F44" w:rsidRPr="009E7F44" w:rsidRDefault="009E7F44" w:rsidP="009E7F44">
            <w:pPr>
              <w:spacing w:after="24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 xml:space="preserve">: c. Keberadaan dan komprehensiveness aturan yang mengatur mekanisme penanganan pengaduan masyarakat dalam proses pengembangan kebijakan dan kelembagaan REDD+ </w:t>
            </w:r>
          </w:p>
        </w:tc>
      </w:tr>
      <w:tr w:rsidR="009E7F44" w:rsidRPr="009E7F44" w:rsidTr="009E7F44">
        <w:trPr>
          <w:trHeight w:val="255"/>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Kode</w:t>
            </w:r>
          </w:p>
        </w:tc>
        <w:tc>
          <w:tcPr>
            <w:tcW w:w="2084" w:type="dxa"/>
            <w:tcBorders>
              <w:top w:val="single" w:sz="4" w:space="0" w:color="auto"/>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Item Data</w:t>
            </w:r>
          </w:p>
        </w:tc>
        <w:tc>
          <w:tcPr>
            <w:tcW w:w="1233" w:type="dxa"/>
            <w:tcBorders>
              <w:top w:val="single" w:sz="4" w:space="0" w:color="auto"/>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Sumber Data</w:t>
            </w:r>
          </w:p>
        </w:tc>
        <w:tc>
          <w:tcPr>
            <w:tcW w:w="4753" w:type="dxa"/>
            <w:tcBorders>
              <w:top w:val="single" w:sz="4" w:space="0" w:color="auto"/>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Sumber Dokumen Hukum dan Kebijakan</w:t>
            </w:r>
          </w:p>
        </w:tc>
        <w:tc>
          <w:tcPr>
            <w:tcW w:w="1676" w:type="dxa"/>
            <w:tcBorders>
              <w:top w:val="single" w:sz="4" w:space="0" w:color="auto"/>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Kategori Data</w:t>
            </w:r>
          </w:p>
        </w:tc>
      </w:tr>
      <w:tr w:rsidR="009E7F44" w:rsidRPr="009E7F44" w:rsidTr="009E7F44">
        <w:trPr>
          <w:trHeight w:val="2295"/>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AVIc1</w:t>
            </w:r>
          </w:p>
        </w:tc>
        <w:tc>
          <w:tcPr>
            <w:tcW w:w="2084"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Mekanisme pengaduan masyarakat yang memudahkan bagi seluruh pihak (termasuk competitors) untuk menyampaikan pengaduan dan mendapatkan kejelasan tindakan yang telah diambil atas pengaduan yang disampaikan dalam jangka waktu yang jelas</w:t>
            </w:r>
          </w:p>
        </w:tc>
        <w:tc>
          <w:tcPr>
            <w:tcW w:w="123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 </w:t>
            </w:r>
          </w:p>
        </w:tc>
        <w:tc>
          <w:tcPr>
            <w:tcW w:w="475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Tidak ditemukan aturan yang relevan. Belum pernah menerbitkan aturan yang terkait dengan implementasi REDD</w:t>
            </w:r>
          </w:p>
        </w:tc>
        <w:tc>
          <w:tcPr>
            <w:tcW w:w="1676"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1</w:t>
            </w:r>
          </w:p>
        </w:tc>
      </w:tr>
      <w:tr w:rsidR="009E7F44" w:rsidRPr="009E7F44" w:rsidTr="009E7F44">
        <w:trPr>
          <w:trHeight w:val="1275"/>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AVIc2</w:t>
            </w:r>
          </w:p>
        </w:tc>
        <w:tc>
          <w:tcPr>
            <w:tcW w:w="2084"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Mekanisme resolusi konflik dan penyelesaian sengketa melalui jalur perundingan apabila terdapat perbedaan pandangan yg tajam atas suatu hal</w:t>
            </w:r>
          </w:p>
        </w:tc>
        <w:tc>
          <w:tcPr>
            <w:tcW w:w="123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 </w:t>
            </w:r>
          </w:p>
        </w:tc>
        <w:tc>
          <w:tcPr>
            <w:tcW w:w="475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Tidak ditemukan aturan yang relevan. Belum pernah menerbitkan aturan yang terkait dengan implementasi REDD</w:t>
            </w:r>
          </w:p>
        </w:tc>
        <w:tc>
          <w:tcPr>
            <w:tcW w:w="1676"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1</w:t>
            </w:r>
          </w:p>
        </w:tc>
      </w:tr>
      <w:tr w:rsidR="009E7F44" w:rsidRPr="009E7F44" w:rsidTr="009E7F44">
        <w:trPr>
          <w:trHeight w:val="765"/>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lastRenderedPageBreak/>
              <w:t>AVIc3</w:t>
            </w:r>
          </w:p>
        </w:tc>
        <w:tc>
          <w:tcPr>
            <w:tcW w:w="2084"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Jasa mediator yang memiliki keahlian dan pemahaman tentang isu-isu adat</w:t>
            </w:r>
          </w:p>
        </w:tc>
        <w:tc>
          <w:tcPr>
            <w:tcW w:w="123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 </w:t>
            </w:r>
          </w:p>
        </w:tc>
        <w:tc>
          <w:tcPr>
            <w:tcW w:w="475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Tidak ditemukan aturan yang relevan. Belum pernah menerbitkan aturan yang terkait dengan implementasi REDD</w:t>
            </w:r>
          </w:p>
        </w:tc>
        <w:tc>
          <w:tcPr>
            <w:tcW w:w="1676"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1</w:t>
            </w:r>
          </w:p>
        </w:tc>
      </w:tr>
      <w:tr w:rsidR="009E7F44" w:rsidRPr="009E7F44" w:rsidTr="009E7F44">
        <w:trPr>
          <w:trHeight w:val="255"/>
        </w:trPr>
        <w:tc>
          <w:tcPr>
            <w:tcW w:w="1134"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2084"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1233"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4753"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1676"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p>
        </w:tc>
      </w:tr>
      <w:tr w:rsidR="009E7F44" w:rsidRPr="009E7F44" w:rsidTr="009E7F44">
        <w:trPr>
          <w:trHeight w:val="930"/>
        </w:trPr>
        <w:tc>
          <w:tcPr>
            <w:tcW w:w="1134"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Indikator</w:t>
            </w:r>
          </w:p>
        </w:tc>
        <w:tc>
          <w:tcPr>
            <w:tcW w:w="2084"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7662" w:type="dxa"/>
            <w:gridSpan w:val="3"/>
            <w:tcBorders>
              <w:top w:val="nil"/>
              <w:left w:val="nil"/>
              <w:bottom w:val="nil"/>
              <w:right w:val="nil"/>
            </w:tcBorders>
            <w:shd w:val="clear" w:color="auto" w:fill="auto"/>
            <w:vAlign w:val="center"/>
            <w:hideMark/>
          </w:tcPr>
          <w:p w:rsidR="009E7F44" w:rsidRPr="009E7F44" w:rsidRDefault="009E7F44" w:rsidP="009E7F44">
            <w:pPr>
              <w:spacing w:after="24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 xml:space="preserve">: d. Keberadaan dan komprehensiveness aturan yang mengatur program peningkatan kapasitas aparat pemerintah dan masyarakat dalam penyiapan pengembangan kebijakan dan kelembagaan REDD+  </w:t>
            </w:r>
            <w:r w:rsidRPr="009E7F44">
              <w:rPr>
                <w:rFonts w:ascii="Times New Roman" w:eastAsia="Times New Roman" w:hAnsi="Times New Roman" w:cs="Times New Roman"/>
                <w:b/>
                <w:bCs/>
                <w:color w:val="000000"/>
                <w:sz w:val="20"/>
                <w:szCs w:val="20"/>
                <w:lang w:eastAsia="id-ID"/>
              </w:rPr>
              <w:br/>
              <w:t xml:space="preserve"> </w:t>
            </w:r>
          </w:p>
        </w:tc>
      </w:tr>
      <w:tr w:rsidR="009E7F44" w:rsidRPr="009E7F44" w:rsidTr="009E7F44">
        <w:trPr>
          <w:trHeight w:val="255"/>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Kode</w:t>
            </w:r>
          </w:p>
        </w:tc>
        <w:tc>
          <w:tcPr>
            <w:tcW w:w="2084" w:type="dxa"/>
            <w:tcBorders>
              <w:top w:val="single" w:sz="4" w:space="0" w:color="auto"/>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Item Data</w:t>
            </w:r>
          </w:p>
        </w:tc>
        <w:tc>
          <w:tcPr>
            <w:tcW w:w="1233" w:type="dxa"/>
            <w:tcBorders>
              <w:top w:val="single" w:sz="4" w:space="0" w:color="auto"/>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Sumber Data</w:t>
            </w:r>
          </w:p>
        </w:tc>
        <w:tc>
          <w:tcPr>
            <w:tcW w:w="4753" w:type="dxa"/>
            <w:tcBorders>
              <w:top w:val="single" w:sz="4" w:space="0" w:color="auto"/>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Sumber Dokumen Hukum dan Kebijakan</w:t>
            </w:r>
          </w:p>
        </w:tc>
        <w:tc>
          <w:tcPr>
            <w:tcW w:w="1676" w:type="dxa"/>
            <w:tcBorders>
              <w:top w:val="single" w:sz="4" w:space="0" w:color="auto"/>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Kategori Data</w:t>
            </w:r>
          </w:p>
        </w:tc>
      </w:tr>
      <w:tr w:rsidR="009E7F44" w:rsidRPr="009E7F44" w:rsidTr="009E7F44">
        <w:trPr>
          <w:trHeight w:val="1275"/>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AVId1</w:t>
            </w:r>
          </w:p>
        </w:tc>
        <w:tc>
          <w:tcPr>
            <w:tcW w:w="2084"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Program untuk meningkatkan kapasitas masyarakat adat/lokal untuk untuk memahami REDD+ serta pilihan-pilihan kebijakan yang ada</w:t>
            </w:r>
          </w:p>
        </w:tc>
        <w:tc>
          <w:tcPr>
            <w:tcW w:w="123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 </w:t>
            </w:r>
          </w:p>
        </w:tc>
        <w:tc>
          <w:tcPr>
            <w:tcW w:w="475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Tidak ditemukan aturan yang relevan. Belum pernah menerbitkan aturan yang terkait dengan implementasi REDD</w:t>
            </w:r>
          </w:p>
        </w:tc>
        <w:tc>
          <w:tcPr>
            <w:tcW w:w="1676"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1</w:t>
            </w:r>
          </w:p>
        </w:tc>
      </w:tr>
      <w:tr w:rsidR="009E7F44" w:rsidRPr="009E7F44" w:rsidTr="009E7F44">
        <w:trPr>
          <w:trHeight w:val="1275"/>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AVId2</w:t>
            </w:r>
          </w:p>
        </w:tc>
        <w:tc>
          <w:tcPr>
            <w:tcW w:w="2084"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Program untuk peningkatan kapasitas pemerintahan yang lebih rendah untuk memahami REDD+ serta pilihan-pilihan kebijakan yang ada</w:t>
            </w:r>
          </w:p>
        </w:tc>
        <w:tc>
          <w:tcPr>
            <w:tcW w:w="123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 </w:t>
            </w:r>
          </w:p>
        </w:tc>
        <w:tc>
          <w:tcPr>
            <w:tcW w:w="475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Tidak ditemukan aturan yang relevan. Belum pernah menerbitkan aturan yang terkait dengan implementasi REDD</w:t>
            </w:r>
          </w:p>
        </w:tc>
        <w:tc>
          <w:tcPr>
            <w:tcW w:w="1676"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1</w:t>
            </w:r>
          </w:p>
        </w:tc>
      </w:tr>
      <w:tr w:rsidR="009E7F44" w:rsidRPr="009E7F44" w:rsidTr="009E7F44">
        <w:trPr>
          <w:trHeight w:val="255"/>
        </w:trPr>
        <w:tc>
          <w:tcPr>
            <w:tcW w:w="1134"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2084"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1233"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4753"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1676"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p>
        </w:tc>
      </w:tr>
      <w:tr w:rsidR="009E7F44" w:rsidRPr="009E7F44" w:rsidTr="009E7F44">
        <w:trPr>
          <w:trHeight w:val="930"/>
        </w:trPr>
        <w:tc>
          <w:tcPr>
            <w:tcW w:w="1134"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Indikator</w:t>
            </w:r>
          </w:p>
        </w:tc>
        <w:tc>
          <w:tcPr>
            <w:tcW w:w="2084"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7662" w:type="dxa"/>
            <w:gridSpan w:val="3"/>
            <w:tcBorders>
              <w:top w:val="nil"/>
              <w:left w:val="nil"/>
              <w:bottom w:val="nil"/>
              <w:right w:val="nil"/>
            </w:tcBorders>
            <w:shd w:val="clear" w:color="auto" w:fill="auto"/>
            <w:vAlign w:val="center"/>
            <w:hideMark/>
          </w:tcPr>
          <w:p w:rsidR="009E7F44" w:rsidRPr="009E7F44" w:rsidRDefault="009E7F44" w:rsidP="009E7F44">
            <w:pPr>
              <w:spacing w:after="24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 xml:space="preserve">: e. Keberadaan dan komprehensiveness aturan yang mengatur mekanisme tindak lanjut temuan penyelewengan/indikasi korupsi kegiatan REDD+ yang responsif </w:t>
            </w:r>
            <w:r w:rsidRPr="009E7F44">
              <w:rPr>
                <w:rFonts w:ascii="Times New Roman" w:eastAsia="Times New Roman" w:hAnsi="Times New Roman" w:cs="Times New Roman"/>
                <w:b/>
                <w:bCs/>
                <w:color w:val="000000"/>
                <w:sz w:val="20"/>
                <w:szCs w:val="20"/>
                <w:lang w:eastAsia="id-ID"/>
              </w:rPr>
              <w:br/>
              <w:t xml:space="preserve"> </w:t>
            </w:r>
            <w:r w:rsidRPr="009E7F44">
              <w:rPr>
                <w:rFonts w:ascii="Times New Roman" w:eastAsia="Times New Roman" w:hAnsi="Times New Roman" w:cs="Times New Roman"/>
                <w:b/>
                <w:bCs/>
                <w:color w:val="000000"/>
                <w:sz w:val="20"/>
                <w:szCs w:val="20"/>
                <w:lang w:eastAsia="id-ID"/>
              </w:rPr>
              <w:br/>
              <w:t xml:space="preserve"> </w:t>
            </w:r>
          </w:p>
        </w:tc>
      </w:tr>
      <w:tr w:rsidR="009E7F44" w:rsidRPr="009E7F44" w:rsidTr="009E7F44">
        <w:trPr>
          <w:trHeight w:val="255"/>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Kode</w:t>
            </w:r>
          </w:p>
        </w:tc>
        <w:tc>
          <w:tcPr>
            <w:tcW w:w="2084" w:type="dxa"/>
            <w:tcBorders>
              <w:top w:val="single" w:sz="4" w:space="0" w:color="auto"/>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Item Data</w:t>
            </w:r>
          </w:p>
        </w:tc>
        <w:tc>
          <w:tcPr>
            <w:tcW w:w="1233" w:type="dxa"/>
            <w:tcBorders>
              <w:top w:val="single" w:sz="4" w:space="0" w:color="auto"/>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Sumber Data</w:t>
            </w:r>
          </w:p>
        </w:tc>
        <w:tc>
          <w:tcPr>
            <w:tcW w:w="4753" w:type="dxa"/>
            <w:tcBorders>
              <w:top w:val="single" w:sz="4" w:space="0" w:color="auto"/>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Sumber Dokumen Hukum dan Kebijakan</w:t>
            </w:r>
          </w:p>
        </w:tc>
        <w:tc>
          <w:tcPr>
            <w:tcW w:w="1676" w:type="dxa"/>
            <w:tcBorders>
              <w:top w:val="single" w:sz="4" w:space="0" w:color="auto"/>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Kategori Data</w:t>
            </w:r>
          </w:p>
        </w:tc>
      </w:tr>
      <w:tr w:rsidR="009E7F44" w:rsidRPr="009E7F44" w:rsidTr="009E7F44">
        <w:trPr>
          <w:trHeight w:val="765"/>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AVIe1</w:t>
            </w:r>
          </w:p>
        </w:tc>
        <w:tc>
          <w:tcPr>
            <w:tcW w:w="2084"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Pelaksanaan perbaikan sistem berdasarkan rekomendasi BPK secara partisipatif</w:t>
            </w:r>
          </w:p>
        </w:tc>
        <w:tc>
          <w:tcPr>
            <w:tcW w:w="123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 </w:t>
            </w:r>
          </w:p>
        </w:tc>
        <w:tc>
          <w:tcPr>
            <w:tcW w:w="475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Tidak ditemukan aturan yang relevan. Belum pernah menerbitkan aturan yang terkait dengan implementasi REDD</w:t>
            </w:r>
          </w:p>
        </w:tc>
        <w:tc>
          <w:tcPr>
            <w:tcW w:w="1676"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1</w:t>
            </w:r>
          </w:p>
        </w:tc>
      </w:tr>
      <w:tr w:rsidR="009E7F44" w:rsidRPr="009E7F44" w:rsidTr="009E7F44">
        <w:trPr>
          <w:trHeight w:val="255"/>
        </w:trPr>
        <w:tc>
          <w:tcPr>
            <w:tcW w:w="1134"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2084"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1233"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4753"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1676"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p>
        </w:tc>
      </w:tr>
      <w:tr w:rsidR="009E7F44" w:rsidRPr="009E7F44" w:rsidTr="009E7F44">
        <w:trPr>
          <w:trHeight w:val="780"/>
        </w:trPr>
        <w:tc>
          <w:tcPr>
            <w:tcW w:w="1134"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Indikator</w:t>
            </w:r>
          </w:p>
        </w:tc>
        <w:tc>
          <w:tcPr>
            <w:tcW w:w="2084" w:type="dxa"/>
            <w:tcBorders>
              <w:top w:val="nil"/>
              <w:left w:val="nil"/>
              <w:bottom w:val="nil"/>
              <w:right w:val="nil"/>
            </w:tcBorders>
            <w:shd w:val="clear" w:color="auto" w:fill="auto"/>
            <w:noWrap/>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p>
        </w:tc>
        <w:tc>
          <w:tcPr>
            <w:tcW w:w="7662" w:type="dxa"/>
            <w:gridSpan w:val="3"/>
            <w:tcBorders>
              <w:top w:val="nil"/>
              <w:left w:val="nil"/>
              <w:bottom w:val="nil"/>
              <w:right w:val="nil"/>
            </w:tcBorders>
            <w:shd w:val="clear" w:color="auto" w:fill="auto"/>
            <w:vAlign w:val="center"/>
            <w:hideMark/>
          </w:tcPr>
          <w:p w:rsidR="009E7F44" w:rsidRPr="009E7F44" w:rsidRDefault="009E7F44" w:rsidP="009E7F44">
            <w:pPr>
              <w:spacing w:after="240" w:line="240" w:lineRule="auto"/>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 f. Keberadaan dan komprehensiveness aturan yang mengatur mekanisme penanganan pengaduan dalam konflik terkait dengan kegiatan REDD+</w:t>
            </w:r>
            <w:r w:rsidRPr="009E7F44">
              <w:rPr>
                <w:rFonts w:ascii="Times New Roman" w:eastAsia="Times New Roman" w:hAnsi="Times New Roman" w:cs="Times New Roman"/>
                <w:b/>
                <w:bCs/>
                <w:color w:val="000000"/>
                <w:sz w:val="20"/>
                <w:szCs w:val="20"/>
                <w:lang w:eastAsia="id-ID"/>
              </w:rPr>
              <w:br/>
              <w:t xml:space="preserve"> </w:t>
            </w:r>
          </w:p>
        </w:tc>
      </w:tr>
      <w:tr w:rsidR="009E7F44" w:rsidRPr="009E7F44" w:rsidTr="009E7F44">
        <w:trPr>
          <w:trHeight w:val="255"/>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Kode</w:t>
            </w:r>
          </w:p>
        </w:tc>
        <w:tc>
          <w:tcPr>
            <w:tcW w:w="2084" w:type="dxa"/>
            <w:tcBorders>
              <w:top w:val="single" w:sz="4" w:space="0" w:color="auto"/>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Item Data</w:t>
            </w:r>
          </w:p>
        </w:tc>
        <w:tc>
          <w:tcPr>
            <w:tcW w:w="1233" w:type="dxa"/>
            <w:tcBorders>
              <w:top w:val="single" w:sz="4" w:space="0" w:color="auto"/>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Sumber Data</w:t>
            </w:r>
          </w:p>
        </w:tc>
        <w:tc>
          <w:tcPr>
            <w:tcW w:w="4753" w:type="dxa"/>
            <w:tcBorders>
              <w:top w:val="single" w:sz="4" w:space="0" w:color="auto"/>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Sumber Dokumen Hukum dan Kebijakan</w:t>
            </w:r>
          </w:p>
        </w:tc>
        <w:tc>
          <w:tcPr>
            <w:tcW w:w="1676" w:type="dxa"/>
            <w:tcBorders>
              <w:top w:val="single" w:sz="4" w:space="0" w:color="auto"/>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b/>
                <w:bCs/>
                <w:color w:val="000000"/>
                <w:sz w:val="20"/>
                <w:szCs w:val="20"/>
                <w:lang w:eastAsia="id-ID"/>
              </w:rPr>
            </w:pPr>
            <w:r w:rsidRPr="009E7F44">
              <w:rPr>
                <w:rFonts w:ascii="Times New Roman" w:eastAsia="Times New Roman" w:hAnsi="Times New Roman" w:cs="Times New Roman"/>
                <w:b/>
                <w:bCs/>
                <w:color w:val="000000"/>
                <w:sz w:val="20"/>
                <w:szCs w:val="20"/>
                <w:lang w:eastAsia="id-ID"/>
              </w:rPr>
              <w:t>Kategori Data</w:t>
            </w:r>
          </w:p>
        </w:tc>
      </w:tr>
      <w:tr w:rsidR="009E7F44" w:rsidRPr="009E7F44" w:rsidTr="009E7F44">
        <w:trPr>
          <w:trHeight w:val="1020"/>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AVIf1</w:t>
            </w:r>
          </w:p>
        </w:tc>
        <w:tc>
          <w:tcPr>
            <w:tcW w:w="2084"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Mekanisme pengaduan yang sederhana, memilik tenggat waktu yang jelas serta kejelasan tindakan yang telah diambil</w:t>
            </w:r>
          </w:p>
        </w:tc>
        <w:tc>
          <w:tcPr>
            <w:tcW w:w="123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 </w:t>
            </w:r>
          </w:p>
        </w:tc>
        <w:tc>
          <w:tcPr>
            <w:tcW w:w="475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Tidak ditemukan aturan yang relevan. Belum pernah menerbitkan aturan yang terkait dengan implementasi REDD</w:t>
            </w:r>
          </w:p>
        </w:tc>
        <w:tc>
          <w:tcPr>
            <w:tcW w:w="1676"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1</w:t>
            </w:r>
          </w:p>
        </w:tc>
      </w:tr>
      <w:tr w:rsidR="009E7F44" w:rsidRPr="009E7F44" w:rsidTr="009E7F44">
        <w:trPr>
          <w:trHeight w:val="765"/>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AVIf2</w:t>
            </w:r>
          </w:p>
        </w:tc>
        <w:tc>
          <w:tcPr>
            <w:tcW w:w="2084"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Mekanisme resolusi konflik dan penyelesaian sengketa melalui jalur perundingan</w:t>
            </w:r>
          </w:p>
        </w:tc>
        <w:tc>
          <w:tcPr>
            <w:tcW w:w="123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 </w:t>
            </w:r>
          </w:p>
        </w:tc>
        <w:tc>
          <w:tcPr>
            <w:tcW w:w="475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Tidak ditemukan aturan yang relevan. Belum pernah menerbitkan aturan yang terkait dengan implementasi REDD</w:t>
            </w:r>
          </w:p>
        </w:tc>
        <w:tc>
          <w:tcPr>
            <w:tcW w:w="1676"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1</w:t>
            </w:r>
          </w:p>
        </w:tc>
      </w:tr>
      <w:tr w:rsidR="009E7F44" w:rsidRPr="009E7F44" w:rsidTr="009E7F44">
        <w:trPr>
          <w:trHeight w:val="1275"/>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AVIf3</w:t>
            </w:r>
          </w:p>
        </w:tc>
        <w:tc>
          <w:tcPr>
            <w:tcW w:w="2084"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Mewajibkan mediator yang disediakan untuk memiliki keahlian dan pemahaman tentang isu-isu adat/masyarakat lokal</w:t>
            </w:r>
          </w:p>
        </w:tc>
        <w:tc>
          <w:tcPr>
            <w:tcW w:w="123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 </w:t>
            </w:r>
          </w:p>
        </w:tc>
        <w:tc>
          <w:tcPr>
            <w:tcW w:w="475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Tidak ditemukan aturan yang relevan. Belum pernah menerbitkan aturan yang terkait dengan implementasi REDD</w:t>
            </w:r>
          </w:p>
        </w:tc>
        <w:tc>
          <w:tcPr>
            <w:tcW w:w="1676"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1</w:t>
            </w:r>
          </w:p>
        </w:tc>
      </w:tr>
      <w:tr w:rsidR="009E7F44" w:rsidRPr="009E7F44" w:rsidTr="009E7F44">
        <w:trPr>
          <w:trHeight w:val="1020"/>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lastRenderedPageBreak/>
              <w:t>AVIf4</w:t>
            </w:r>
          </w:p>
        </w:tc>
        <w:tc>
          <w:tcPr>
            <w:tcW w:w="2084"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Mekanisme pengawasan eksternal atas kinerja penegak hukum dalam menindaklanjuti pengaduan masyarakat</w:t>
            </w:r>
          </w:p>
        </w:tc>
        <w:tc>
          <w:tcPr>
            <w:tcW w:w="123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 </w:t>
            </w:r>
          </w:p>
        </w:tc>
        <w:tc>
          <w:tcPr>
            <w:tcW w:w="4753" w:type="dxa"/>
            <w:tcBorders>
              <w:top w:val="nil"/>
              <w:left w:val="nil"/>
              <w:bottom w:val="single" w:sz="4" w:space="0" w:color="auto"/>
              <w:right w:val="single" w:sz="4" w:space="0" w:color="auto"/>
            </w:tcBorders>
            <w:shd w:val="clear" w:color="auto" w:fill="auto"/>
            <w:vAlign w:val="center"/>
            <w:hideMark/>
          </w:tcPr>
          <w:p w:rsidR="009E7F44" w:rsidRPr="009E7F44" w:rsidRDefault="009E7F44" w:rsidP="009E7F44">
            <w:pPr>
              <w:spacing w:after="0" w:line="240" w:lineRule="auto"/>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Tidak ditemukan aturan yang relevan. Belum pernah menerbitkan aturan yang terkait dengan implementasi REDD</w:t>
            </w:r>
          </w:p>
        </w:tc>
        <w:tc>
          <w:tcPr>
            <w:tcW w:w="1676" w:type="dxa"/>
            <w:tcBorders>
              <w:top w:val="nil"/>
              <w:left w:val="nil"/>
              <w:bottom w:val="single" w:sz="4" w:space="0" w:color="auto"/>
              <w:right w:val="single" w:sz="4" w:space="0" w:color="auto"/>
            </w:tcBorders>
            <w:shd w:val="clear" w:color="auto" w:fill="auto"/>
            <w:noWrap/>
            <w:vAlign w:val="center"/>
            <w:hideMark/>
          </w:tcPr>
          <w:p w:rsidR="009E7F44" w:rsidRPr="009E7F44" w:rsidRDefault="009E7F44" w:rsidP="009E7F44">
            <w:pPr>
              <w:spacing w:after="0" w:line="240" w:lineRule="auto"/>
              <w:jc w:val="center"/>
              <w:rPr>
                <w:rFonts w:ascii="Times New Roman" w:eastAsia="Times New Roman" w:hAnsi="Times New Roman" w:cs="Times New Roman"/>
                <w:color w:val="000000"/>
                <w:sz w:val="20"/>
                <w:szCs w:val="20"/>
                <w:lang w:eastAsia="id-ID"/>
              </w:rPr>
            </w:pPr>
            <w:r w:rsidRPr="009E7F44">
              <w:rPr>
                <w:rFonts w:ascii="Times New Roman" w:eastAsia="Times New Roman" w:hAnsi="Times New Roman" w:cs="Times New Roman"/>
                <w:color w:val="000000"/>
                <w:sz w:val="20"/>
                <w:szCs w:val="20"/>
                <w:lang w:eastAsia="id-ID"/>
              </w:rPr>
              <w:t>1</w:t>
            </w:r>
          </w:p>
        </w:tc>
      </w:tr>
    </w:tbl>
    <w:p w:rsidR="009E7F44" w:rsidRDefault="009E7F44"/>
    <w:sectPr w:rsidR="009E7F44"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03714F"/>
    <w:rsid w:val="000C1FA2"/>
    <w:rsid w:val="0026067C"/>
    <w:rsid w:val="004165D1"/>
    <w:rsid w:val="006E5970"/>
    <w:rsid w:val="009E7F44"/>
    <w:rsid w:val="00A91768"/>
    <w:rsid w:val="00BB5203"/>
    <w:rsid w:val="00D74DB4"/>
    <w:rsid w:val="00DA73CB"/>
    <w:rsid w:val="00EF25A4"/>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s>
</file>

<file path=word/webSettings.xml><?xml version="1.0" encoding="utf-8"?>
<w:webSettings xmlns:r="http://schemas.openxmlformats.org/officeDocument/2006/relationships" xmlns:w="http://schemas.openxmlformats.org/wordprocessingml/2006/main">
  <w:divs>
    <w:div w:id="140972546">
      <w:bodyDiv w:val="1"/>
      <w:marLeft w:val="0"/>
      <w:marRight w:val="0"/>
      <w:marTop w:val="0"/>
      <w:marBottom w:val="0"/>
      <w:divBdr>
        <w:top w:val="none" w:sz="0" w:space="0" w:color="auto"/>
        <w:left w:val="none" w:sz="0" w:space="0" w:color="auto"/>
        <w:bottom w:val="none" w:sz="0" w:space="0" w:color="auto"/>
        <w:right w:val="none" w:sz="0" w:space="0" w:color="auto"/>
      </w:divBdr>
    </w:div>
    <w:div w:id="141627590">
      <w:bodyDiv w:val="1"/>
      <w:marLeft w:val="0"/>
      <w:marRight w:val="0"/>
      <w:marTop w:val="0"/>
      <w:marBottom w:val="0"/>
      <w:divBdr>
        <w:top w:val="none" w:sz="0" w:space="0" w:color="auto"/>
        <w:left w:val="none" w:sz="0" w:space="0" w:color="auto"/>
        <w:bottom w:val="none" w:sz="0" w:space="0" w:color="auto"/>
        <w:right w:val="none" w:sz="0" w:space="0" w:color="auto"/>
      </w:divBdr>
    </w:div>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556278969">
      <w:bodyDiv w:val="1"/>
      <w:marLeft w:val="0"/>
      <w:marRight w:val="0"/>
      <w:marTop w:val="0"/>
      <w:marBottom w:val="0"/>
      <w:divBdr>
        <w:top w:val="none" w:sz="0" w:space="0" w:color="auto"/>
        <w:left w:val="none" w:sz="0" w:space="0" w:color="auto"/>
        <w:bottom w:val="none" w:sz="0" w:space="0" w:color="auto"/>
        <w:right w:val="none" w:sz="0" w:space="0" w:color="auto"/>
      </w:divBdr>
    </w:div>
    <w:div w:id="932977236">
      <w:bodyDiv w:val="1"/>
      <w:marLeft w:val="0"/>
      <w:marRight w:val="0"/>
      <w:marTop w:val="0"/>
      <w:marBottom w:val="0"/>
      <w:divBdr>
        <w:top w:val="none" w:sz="0" w:space="0" w:color="auto"/>
        <w:left w:val="none" w:sz="0" w:space="0" w:color="auto"/>
        <w:bottom w:val="none" w:sz="0" w:space="0" w:color="auto"/>
        <w:right w:val="none" w:sz="0" w:space="0" w:color="auto"/>
      </w:divBdr>
    </w:div>
    <w:div w:id="1103262323">
      <w:bodyDiv w:val="1"/>
      <w:marLeft w:val="0"/>
      <w:marRight w:val="0"/>
      <w:marTop w:val="0"/>
      <w:marBottom w:val="0"/>
      <w:divBdr>
        <w:top w:val="none" w:sz="0" w:space="0" w:color="auto"/>
        <w:left w:val="none" w:sz="0" w:space="0" w:color="auto"/>
        <w:bottom w:val="none" w:sz="0" w:space="0" w:color="auto"/>
        <w:right w:val="none" w:sz="0" w:space="0" w:color="auto"/>
      </w:divBdr>
    </w:div>
    <w:div w:id="1192648362">
      <w:bodyDiv w:val="1"/>
      <w:marLeft w:val="0"/>
      <w:marRight w:val="0"/>
      <w:marTop w:val="0"/>
      <w:marBottom w:val="0"/>
      <w:divBdr>
        <w:top w:val="none" w:sz="0" w:space="0" w:color="auto"/>
        <w:left w:val="none" w:sz="0" w:space="0" w:color="auto"/>
        <w:bottom w:val="none" w:sz="0" w:space="0" w:color="auto"/>
        <w:right w:val="none" w:sz="0" w:space="0" w:color="auto"/>
      </w:divBdr>
    </w:div>
    <w:div w:id="1204290122">
      <w:bodyDiv w:val="1"/>
      <w:marLeft w:val="0"/>
      <w:marRight w:val="0"/>
      <w:marTop w:val="0"/>
      <w:marBottom w:val="0"/>
      <w:divBdr>
        <w:top w:val="none" w:sz="0" w:space="0" w:color="auto"/>
        <w:left w:val="none" w:sz="0" w:space="0" w:color="auto"/>
        <w:bottom w:val="none" w:sz="0" w:space="0" w:color="auto"/>
        <w:right w:val="none" w:sz="0" w:space="0" w:color="auto"/>
      </w:divBdr>
    </w:div>
    <w:div w:id="1407874500">
      <w:bodyDiv w:val="1"/>
      <w:marLeft w:val="0"/>
      <w:marRight w:val="0"/>
      <w:marTop w:val="0"/>
      <w:marBottom w:val="0"/>
      <w:divBdr>
        <w:top w:val="none" w:sz="0" w:space="0" w:color="auto"/>
        <w:left w:val="none" w:sz="0" w:space="0" w:color="auto"/>
        <w:bottom w:val="none" w:sz="0" w:space="0" w:color="auto"/>
        <w:right w:val="none" w:sz="0" w:space="0" w:color="auto"/>
      </w:divBdr>
    </w:div>
    <w:div w:id="1528325918">
      <w:bodyDiv w:val="1"/>
      <w:marLeft w:val="0"/>
      <w:marRight w:val="0"/>
      <w:marTop w:val="0"/>
      <w:marBottom w:val="0"/>
      <w:divBdr>
        <w:top w:val="none" w:sz="0" w:space="0" w:color="auto"/>
        <w:left w:val="none" w:sz="0" w:space="0" w:color="auto"/>
        <w:bottom w:val="none" w:sz="0" w:space="0" w:color="auto"/>
        <w:right w:val="none" w:sz="0" w:space="0" w:color="auto"/>
      </w:divBdr>
    </w:div>
    <w:div w:id="1650986080">
      <w:bodyDiv w:val="1"/>
      <w:marLeft w:val="0"/>
      <w:marRight w:val="0"/>
      <w:marTop w:val="0"/>
      <w:marBottom w:val="0"/>
      <w:divBdr>
        <w:top w:val="none" w:sz="0" w:space="0" w:color="auto"/>
        <w:left w:val="none" w:sz="0" w:space="0" w:color="auto"/>
        <w:bottom w:val="none" w:sz="0" w:space="0" w:color="auto"/>
        <w:right w:val="none" w:sz="0" w:space="0" w:color="auto"/>
      </w:divBdr>
    </w:div>
    <w:div w:id="1883328370">
      <w:bodyDiv w:val="1"/>
      <w:marLeft w:val="0"/>
      <w:marRight w:val="0"/>
      <w:marTop w:val="0"/>
      <w:marBottom w:val="0"/>
      <w:divBdr>
        <w:top w:val="none" w:sz="0" w:space="0" w:color="auto"/>
        <w:left w:val="none" w:sz="0" w:space="0" w:color="auto"/>
        <w:bottom w:val="none" w:sz="0" w:space="0" w:color="auto"/>
        <w:right w:val="none" w:sz="0" w:space="0" w:color="auto"/>
      </w:divBdr>
    </w:div>
    <w:div w:id="2145733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15</Pages>
  <Words>4541</Words>
  <Characters>25885</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3</cp:revision>
  <dcterms:created xsi:type="dcterms:W3CDTF">2012-10-16T01:42:00Z</dcterms:created>
  <dcterms:modified xsi:type="dcterms:W3CDTF">2012-10-16T03:29:00Z</dcterms:modified>
</cp:coreProperties>
</file>